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34" w:rsidRPr="00380A34" w:rsidRDefault="00380A34" w:rsidP="00380A34">
      <w:pPr>
        <w:rPr>
          <w:rFonts w:ascii="Arial" w:hAnsi="Arial" w:cs="Arial"/>
          <w:b/>
          <w:bCs/>
        </w:rPr>
      </w:pPr>
      <w:r w:rsidRPr="00380A34">
        <w:rPr>
          <w:rFonts w:ascii="Arial" w:hAnsi="Arial" w:cs="Arial"/>
          <w:b/>
          <w:bCs/>
        </w:rPr>
        <w:t>A Gigabit Hungary Stratégia cél- és eszközrendszere</w:t>
      </w:r>
      <w:bookmarkStart w:id="0" w:name="_GoBack"/>
      <w:bookmarkEnd w:id="0"/>
      <w:r w:rsidRPr="00380A34">
        <w:rPr>
          <w:rFonts w:ascii="Arial" w:hAnsi="Arial" w:cs="Arial"/>
          <w:b/>
          <w:bCs/>
        </w:rPr>
        <w:br/>
      </w:r>
      <w:r w:rsidRPr="00380A34">
        <w:rPr>
          <w:rFonts w:ascii="Arial" w:hAnsi="Arial" w:cs="Arial"/>
          <w:b/>
          <w:bCs/>
          <w:i/>
          <w:iCs/>
        </w:rPr>
        <w:t>Kis Gergely</w:t>
      </w:r>
      <w:r w:rsidRPr="00380A34">
        <w:rPr>
          <w:rFonts w:ascii="Arial" w:hAnsi="Arial" w:cs="Arial"/>
          <w:b/>
          <w:bCs/>
        </w:rPr>
        <w:t>,</w:t>
      </w:r>
      <w:r w:rsidRPr="00380A34">
        <w:rPr>
          <w:rFonts w:ascii="Arial" w:hAnsi="Arial" w:cs="Arial"/>
          <w:b/>
          <w:bCs/>
        </w:rPr>
        <w:t xml:space="preserve"> </w:t>
      </w:r>
      <w:r w:rsidRPr="00380A34">
        <w:rPr>
          <w:rFonts w:ascii="Arial" w:hAnsi="Arial" w:cs="Arial"/>
          <w:b/>
          <w:bCs/>
        </w:rPr>
        <w:t>Gigabit Hungary Stratégia</w:t>
      </w:r>
    </w:p>
    <w:p w:rsidR="00380A34" w:rsidRPr="00380A34" w:rsidRDefault="00380A34" w:rsidP="00380A34">
      <w:pPr>
        <w:jc w:val="both"/>
        <w:rPr>
          <w:rFonts w:ascii="Arial" w:hAnsi="Arial" w:cs="Arial"/>
        </w:rPr>
      </w:pPr>
    </w:p>
    <w:p w:rsidR="00380A34" w:rsidRPr="00380A34" w:rsidRDefault="00380A34" w:rsidP="00380A34">
      <w:pPr>
        <w:jc w:val="both"/>
        <w:rPr>
          <w:rFonts w:ascii="Arial" w:hAnsi="Arial" w:cs="Arial"/>
        </w:rPr>
      </w:pPr>
      <w:r w:rsidRPr="00380A34">
        <w:rPr>
          <w:rFonts w:ascii="Arial" w:hAnsi="Arial" w:cs="Arial"/>
        </w:rPr>
        <w:t xml:space="preserve">Magyarországon előre jelezhető aggregált negyedéves adatforgalom (utolsó ismert adatpontban mért érték – 2019Q1 – 996 </w:t>
      </w:r>
      <w:proofErr w:type="spellStart"/>
      <w:r w:rsidRPr="00380A34">
        <w:rPr>
          <w:rFonts w:ascii="Arial" w:hAnsi="Arial" w:cs="Arial"/>
        </w:rPr>
        <w:t>PByte</w:t>
      </w:r>
      <w:proofErr w:type="spellEnd"/>
      <w:r w:rsidRPr="00380A34">
        <w:rPr>
          <w:rFonts w:ascii="Arial" w:hAnsi="Arial" w:cs="Arial"/>
        </w:rPr>
        <w:t xml:space="preserve">) három-ötszörösével bővülhet 2030-ig. A Magyar Kormány által tervezett Gigabit Hungary Stratégia (GHS) elsődleges célkitűzése, hogy Magyarországon az uniós tagállamok között elsőként épüljön ki a rendkívül nagy sávszélességű adatátviteli hálózat, melyen 2025-ig – illetve 2030-ig – előre tekintve nem alakulhat ki olyan szűk keresztmetszet, mely akadályozná a végfelhasználókat az adatforgalmi kapacitás kihasználásában. A GHS célkitűzése, hogy 2025-re a lakossági, az üzleti és a közintézményi igényhelyek rendre 75%-a, 70%-a és 65%-a, 2030-ra már a lakossági igényhelyek 95%-a, míg az üzleti és közintézményi igényhelyek 100%-a rendelkezzen legalább 1 </w:t>
      </w:r>
      <w:proofErr w:type="spellStart"/>
      <w:r w:rsidRPr="00380A34">
        <w:rPr>
          <w:rFonts w:ascii="Arial" w:hAnsi="Arial" w:cs="Arial"/>
        </w:rPr>
        <w:t>Gbps</w:t>
      </w:r>
      <w:proofErr w:type="spellEnd"/>
      <w:r w:rsidRPr="00380A34">
        <w:rPr>
          <w:rFonts w:ascii="Arial" w:hAnsi="Arial" w:cs="Arial"/>
        </w:rPr>
        <w:t xml:space="preserve"> szimmetrikus sávszélességű internet-hozzáférés lehetőségével. A GHS 2030-ig határozza meg a digitális ökoszisztéma – uniós szóhasználatban gigabit társadalomnak (Gigabit Society) nevezett – következő fejlődési fázisának elérésére vonatkozó stratégiai célokat és eszközöket. Az előadásban a pillér szerkezet, a cél és eszközrendszer kerül bemutatásra. </w:t>
      </w:r>
    </w:p>
    <w:p w:rsidR="00380A34" w:rsidRPr="00380A34" w:rsidRDefault="00380A34" w:rsidP="00380A34">
      <w:pPr>
        <w:jc w:val="both"/>
        <w:rPr>
          <w:rFonts w:ascii="Arial" w:hAnsi="Arial" w:cs="Arial"/>
        </w:rPr>
      </w:pPr>
    </w:p>
    <w:p w:rsidR="00622A59" w:rsidRPr="00380A34" w:rsidRDefault="00622A59"/>
    <w:sectPr w:rsidR="00622A59" w:rsidRPr="0038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34"/>
    <w:rsid w:val="00380A34"/>
    <w:rsid w:val="006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EA39"/>
  <w15:chartTrackingRefBased/>
  <w15:docId w15:val="{248E0593-A523-49BC-9701-59E6366C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0A34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2019-10-07T11:16:00Z</dcterms:created>
  <dcterms:modified xsi:type="dcterms:W3CDTF">2019-10-07T11:19:00Z</dcterms:modified>
</cp:coreProperties>
</file>