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C9" w:rsidRPr="00CD20C9" w:rsidRDefault="00CD20C9" w:rsidP="001657EB">
      <w:pPr>
        <w:pStyle w:val="NormlWeb"/>
        <w:shd w:val="clear" w:color="auto" w:fill="FFFFFF"/>
        <w:spacing w:before="0" w:beforeAutospacing="0" w:after="240" w:afterAutospacing="0" w:line="285" w:lineRule="atLeast"/>
        <w:jc w:val="center"/>
        <w:textAlignment w:val="baseline"/>
        <w:rPr>
          <w:rFonts w:ascii="Arial" w:hAnsi="Arial" w:cs="Arial"/>
          <w:sz w:val="28"/>
          <w:szCs w:val="28"/>
        </w:rPr>
      </w:pPr>
      <w:r w:rsidRPr="00CD20C9">
        <w:rPr>
          <w:rFonts w:ascii="Arial" w:hAnsi="Arial" w:cs="Arial"/>
          <w:sz w:val="28"/>
          <w:szCs w:val="28"/>
        </w:rPr>
        <w:t>Dr. Maros Dóra</w:t>
      </w:r>
    </w:p>
    <w:p w:rsidR="00CD20C9" w:rsidRPr="00CD20C9" w:rsidRDefault="00CD20C9" w:rsidP="00CD20C9">
      <w:pPr>
        <w:pStyle w:val="NormlWeb"/>
        <w:shd w:val="clear" w:color="auto" w:fill="FFFFFF"/>
        <w:spacing w:before="0" w:beforeAutospacing="0" w:after="0" w:afterAutospacing="0"/>
        <w:jc w:val="center"/>
        <w:textAlignment w:val="baseline"/>
        <w:rPr>
          <w:rFonts w:ascii="Arial" w:hAnsi="Arial" w:cs="Arial"/>
          <w:sz w:val="20"/>
          <w:szCs w:val="20"/>
        </w:rPr>
      </w:pPr>
      <w:proofErr w:type="gramStart"/>
      <w:r w:rsidRPr="00CD20C9">
        <w:rPr>
          <w:rFonts w:ascii="Arial" w:hAnsi="Arial" w:cs="Arial"/>
          <w:sz w:val="20"/>
          <w:szCs w:val="20"/>
        </w:rPr>
        <w:t>egyetemi</w:t>
      </w:r>
      <w:proofErr w:type="gramEnd"/>
      <w:r w:rsidRPr="00CD20C9">
        <w:rPr>
          <w:rFonts w:ascii="Arial" w:hAnsi="Arial" w:cs="Arial"/>
          <w:sz w:val="20"/>
          <w:szCs w:val="20"/>
        </w:rPr>
        <w:t xml:space="preserve"> docens</w:t>
      </w:r>
    </w:p>
    <w:p w:rsidR="00CD20C9" w:rsidRPr="00CD20C9" w:rsidRDefault="00CD20C9" w:rsidP="00CD20C9">
      <w:pPr>
        <w:pStyle w:val="NormlWeb"/>
        <w:shd w:val="clear" w:color="auto" w:fill="FFFFFF"/>
        <w:spacing w:before="0" w:beforeAutospacing="0" w:after="0" w:afterAutospacing="0"/>
        <w:jc w:val="center"/>
        <w:textAlignment w:val="baseline"/>
        <w:rPr>
          <w:rFonts w:ascii="Arial" w:hAnsi="Arial" w:cs="Arial"/>
          <w:sz w:val="20"/>
          <w:szCs w:val="20"/>
        </w:rPr>
      </w:pPr>
      <w:r w:rsidRPr="00CD20C9">
        <w:rPr>
          <w:rFonts w:ascii="Arial" w:hAnsi="Arial" w:cs="Arial"/>
          <w:sz w:val="20"/>
          <w:szCs w:val="20"/>
        </w:rPr>
        <w:t>Óbudai Egyetem, Kandó Kálmán Villamosmérnöki Kar, Híradástechnika Intézet</w:t>
      </w:r>
    </w:p>
    <w:p w:rsidR="00CD20C9" w:rsidRDefault="00CD20C9" w:rsidP="001657EB">
      <w:pPr>
        <w:pStyle w:val="NormlWeb"/>
        <w:shd w:val="clear" w:color="auto" w:fill="FFFFFF"/>
        <w:spacing w:before="0" w:beforeAutospacing="0" w:after="240" w:afterAutospacing="0" w:line="285" w:lineRule="atLeast"/>
        <w:jc w:val="center"/>
        <w:textAlignment w:val="baseline"/>
        <w:rPr>
          <w:rFonts w:ascii="Arial" w:hAnsi="Arial" w:cs="Arial"/>
        </w:rPr>
      </w:pPr>
    </w:p>
    <w:p w:rsidR="001657EB" w:rsidRPr="00CD20C9" w:rsidRDefault="001657EB" w:rsidP="001657EB">
      <w:pPr>
        <w:pStyle w:val="NormlWeb"/>
        <w:shd w:val="clear" w:color="auto" w:fill="FFFFFF"/>
        <w:spacing w:before="0" w:beforeAutospacing="0" w:after="240" w:afterAutospacing="0" w:line="285" w:lineRule="atLeast"/>
        <w:jc w:val="center"/>
        <w:textAlignment w:val="baseline"/>
        <w:rPr>
          <w:rFonts w:ascii="Arial" w:hAnsi="Arial" w:cs="Arial"/>
          <w:b/>
        </w:rPr>
      </w:pPr>
      <w:r w:rsidRPr="00CD20C9">
        <w:rPr>
          <w:rFonts w:ascii="Arial" w:hAnsi="Arial" w:cs="Arial"/>
          <w:b/>
        </w:rPr>
        <w:t>FDD és TDD frekvenciasávok kihasználásának kérdései a frekvenciagazdálkodás szempontjából</w:t>
      </w:r>
    </w:p>
    <w:p w:rsidR="0099390C" w:rsidRPr="0099390C" w:rsidRDefault="0099390C" w:rsidP="0013635D">
      <w:pPr>
        <w:pStyle w:val="NormlWeb"/>
        <w:numPr>
          <w:ilvl w:val="0"/>
          <w:numId w:val="4"/>
        </w:numPr>
        <w:shd w:val="clear" w:color="auto" w:fill="FFFFFF"/>
        <w:spacing w:before="0" w:beforeAutospacing="0" w:after="0" w:afterAutospacing="0" w:line="360" w:lineRule="auto"/>
        <w:jc w:val="both"/>
        <w:rPr>
          <w:rFonts w:ascii="Arial" w:hAnsi="Arial" w:cs="Arial"/>
          <w:b/>
        </w:rPr>
      </w:pPr>
      <w:r w:rsidRPr="0099390C">
        <w:rPr>
          <w:rFonts w:ascii="Arial" w:hAnsi="Arial" w:cs="Arial"/>
          <w:b/>
        </w:rPr>
        <w:t>Bevezetés</w:t>
      </w:r>
    </w:p>
    <w:p w:rsidR="001657EB" w:rsidRDefault="001657EB" w:rsidP="00D17E41">
      <w:pPr>
        <w:pStyle w:val="NormlWeb"/>
        <w:shd w:val="clear" w:color="auto" w:fill="FFFFFF"/>
        <w:spacing w:before="0" w:beforeAutospacing="0" w:after="0" w:afterAutospacing="0" w:line="360" w:lineRule="auto"/>
        <w:jc w:val="both"/>
        <w:rPr>
          <w:rFonts w:ascii="Arial" w:hAnsi="Arial" w:cs="Arial"/>
        </w:rPr>
      </w:pPr>
      <w:r>
        <w:rPr>
          <w:rFonts w:ascii="Arial" w:hAnsi="Arial" w:cs="Arial"/>
        </w:rPr>
        <w:t xml:space="preserve">Az utóbbi években tapasztalható jelentős mobil adatforgalom növekedés elsősorban az </w:t>
      </w:r>
      <w:proofErr w:type="spellStart"/>
      <w:r>
        <w:rPr>
          <w:rFonts w:ascii="Arial" w:hAnsi="Arial" w:cs="Arial"/>
        </w:rPr>
        <w:t>okostelefonok</w:t>
      </w:r>
      <w:proofErr w:type="spellEnd"/>
      <w:r>
        <w:rPr>
          <w:rFonts w:ascii="Arial" w:hAnsi="Arial" w:cs="Arial"/>
        </w:rPr>
        <w:t xml:space="preserve"> és a mobil opciókat is tartalmazó </w:t>
      </w:r>
      <w:proofErr w:type="spellStart"/>
      <w:r>
        <w:rPr>
          <w:rFonts w:ascii="Arial" w:hAnsi="Arial" w:cs="Arial"/>
        </w:rPr>
        <w:t>tabletek</w:t>
      </w:r>
      <w:proofErr w:type="spellEnd"/>
      <w:r>
        <w:rPr>
          <w:rFonts w:ascii="Arial" w:hAnsi="Arial" w:cs="Arial"/>
        </w:rPr>
        <w:t xml:space="preserve"> térhódításával magyarázható. Az ún. </w:t>
      </w:r>
      <w:proofErr w:type="spellStart"/>
      <w:r>
        <w:rPr>
          <w:rFonts w:ascii="Arial" w:hAnsi="Arial" w:cs="Arial"/>
        </w:rPr>
        <w:t>conversational</w:t>
      </w:r>
      <w:proofErr w:type="spellEnd"/>
      <w:r>
        <w:rPr>
          <w:rFonts w:ascii="Arial" w:hAnsi="Arial" w:cs="Arial"/>
        </w:rPr>
        <w:t xml:space="preserve"> jellegű szolgáltatások (tipikusan beszéd és videotelefon) a jele</w:t>
      </w:r>
      <w:r w:rsidR="0013635D">
        <w:rPr>
          <w:rFonts w:ascii="Arial" w:hAnsi="Arial" w:cs="Arial"/>
        </w:rPr>
        <w:t>nlegi mobil hálózatokban</w:t>
      </w:r>
      <w:r>
        <w:rPr>
          <w:rFonts w:ascii="Arial" w:hAnsi="Arial" w:cs="Arial"/>
        </w:rPr>
        <w:t xml:space="preserve"> még tipikusan áramkörkapcsolt megoldásokra (</w:t>
      </w:r>
      <w:proofErr w:type="spellStart"/>
      <w:r>
        <w:rPr>
          <w:rFonts w:ascii="Arial" w:hAnsi="Arial" w:cs="Arial"/>
        </w:rPr>
        <w:t>Circiut</w:t>
      </w:r>
      <w:proofErr w:type="spellEnd"/>
      <w:r>
        <w:rPr>
          <w:rFonts w:ascii="Arial" w:hAnsi="Arial" w:cs="Arial"/>
        </w:rPr>
        <w:t xml:space="preserve"> </w:t>
      </w:r>
      <w:proofErr w:type="spellStart"/>
      <w:r>
        <w:rPr>
          <w:rFonts w:ascii="Arial" w:hAnsi="Arial" w:cs="Arial"/>
        </w:rPr>
        <w:t>Switched</w:t>
      </w:r>
      <w:proofErr w:type="spellEnd"/>
      <w:r>
        <w:rPr>
          <w:rFonts w:ascii="Arial" w:hAnsi="Arial" w:cs="Arial"/>
        </w:rPr>
        <w:t xml:space="preserve">) alapulnak, de már megjelentek a </w:t>
      </w:r>
      <w:proofErr w:type="spellStart"/>
      <w:r>
        <w:rPr>
          <w:rFonts w:ascii="Arial" w:hAnsi="Arial" w:cs="Arial"/>
        </w:rPr>
        <w:t>VoIP</w:t>
      </w:r>
      <w:proofErr w:type="spellEnd"/>
      <w:r>
        <w:rPr>
          <w:rFonts w:ascii="Arial" w:hAnsi="Arial" w:cs="Arial"/>
        </w:rPr>
        <w:t xml:space="preserve"> (</w:t>
      </w:r>
      <w:proofErr w:type="spellStart"/>
      <w:r>
        <w:rPr>
          <w:rFonts w:ascii="Arial" w:hAnsi="Arial" w:cs="Arial"/>
        </w:rPr>
        <w:t>Voice</w:t>
      </w:r>
      <w:proofErr w:type="spellEnd"/>
      <w:r>
        <w:rPr>
          <w:rFonts w:ascii="Arial" w:hAnsi="Arial" w:cs="Arial"/>
        </w:rPr>
        <w:t xml:space="preserve"> over IP) szabványnak megfelelő IP alapú – azaz csomagkapcsolt (</w:t>
      </w:r>
      <w:proofErr w:type="spellStart"/>
      <w:r>
        <w:rPr>
          <w:rFonts w:ascii="Arial" w:hAnsi="Arial" w:cs="Arial"/>
        </w:rPr>
        <w:t>Packet</w:t>
      </w:r>
      <w:proofErr w:type="spellEnd"/>
      <w:r>
        <w:rPr>
          <w:rFonts w:ascii="Arial" w:hAnsi="Arial" w:cs="Arial"/>
        </w:rPr>
        <w:t xml:space="preserve"> </w:t>
      </w:r>
      <w:proofErr w:type="spellStart"/>
      <w:r>
        <w:rPr>
          <w:rFonts w:ascii="Arial" w:hAnsi="Arial" w:cs="Arial"/>
        </w:rPr>
        <w:t>Switched</w:t>
      </w:r>
      <w:proofErr w:type="spellEnd"/>
      <w:r>
        <w:rPr>
          <w:rFonts w:ascii="Arial" w:hAnsi="Arial" w:cs="Arial"/>
        </w:rPr>
        <w:t>) megoldások is. Az adatforgalom IP alapú megoldásokra alapul, amely a 2G alkalmazásokban a GPRS és EDGE, a 3G és</w:t>
      </w:r>
      <w:r w:rsidR="0013635D">
        <w:rPr>
          <w:rFonts w:ascii="Arial" w:hAnsi="Arial" w:cs="Arial"/>
        </w:rPr>
        <w:t xml:space="preserve"> 3G+ alkalmazásokban pedig a </w:t>
      </w:r>
      <w:proofErr w:type="spellStart"/>
      <w:r w:rsidR="0013635D">
        <w:rPr>
          <w:rFonts w:ascii="Arial" w:hAnsi="Arial" w:cs="Arial"/>
        </w:rPr>
        <w:t>HSx</w:t>
      </w:r>
      <w:r>
        <w:rPr>
          <w:rFonts w:ascii="Arial" w:hAnsi="Arial" w:cs="Arial"/>
        </w:rPr>
        <w:t>PA</w:t>
      </w:r>
      <w:proofErr w:type="spellEnd"/>
      <w:r>
        <w:rPr>
          <w:rFonts w:ascii="Arial" w:hAnsi="Arial" w:cs="Arial"/>
        </w:rPr>
        <w:t xml:space="preserve"> szabványokra épül. </w:t>
      </w:r>
    </w:p>
    <w:p w:rsidR="001657EB" w:rsidRDefault="001657EB" w:rsidP="00D17E41">
      <w:pPr>
        <w:pStyle w:val="NormlWeb"/>
        <w:shd w:val="clear" w:color="auto" w:fill="FFFFFF"/>
        <w:spacing w:before="0" w:beforeAutospacing="0" w:after="0" w:afterAutospacing="0" w:line="360" w:lineRule="auto"/>
        <w:jc w:val="both"/>
        <w:rPr>
          <w:rFonts w:ascii="Arial" w:hAnsi="Arial" w:cs="Arial"/>
        </w:rPr>
      </w:pPr>
      <w:r>
        <w:rPr>
          <w:rFonts w:ascii="Arial" w:hAnsi="Arial" w:cs="Arial"/>
        </w:rPr>
        <w:t>Az áramkörkapcsolt technológiák ideje hamarosan lejár, és a szolgáltatások a jövőben tisztán IP alapú, csomagkapcsolt megoldásokat támogatnak. A csomagkapcsolás – jellegéből adódóan - lehetővé teszi a rádióspektrum sokkal rugalmasabb kihasználását, a spektrumkihasználás hatékonyságának megnövelését.</w:t>
      </w:r>
    </w:p>
    <w:p w:rsidR="001657EB" w:rsidRDefault="001657EB" w:rsidP="00D17E41">
      <w:pPr>
        <w:pStyle w:val="NormlWeb"/>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Pr="005D6855">
        <w:rPr>
          <w:rFonts w:ascii="Arial" w:hAnsi="Arial" w:cs="Arial"/>
        </w:rPr>
        <w:t>Az UMTS</w:t>
      </w:r>
      <w:r w:rsidR="00CD20C9">
        <w:rPr>
          <w:rFonts w:ascii="Arial" w:hAnsi="Arial" w:cs="Arial"/>
        </w:rPr>
        <w:t>/</w:t>
      </w:r>
      <w:proofErr w:type="spellStart"/>
      <w:r w:rsidR="00CD20C9">
        <w:rPr>
          <w:rFonts w:ascii="Arial" w:hAnsi="Arial" w:cs="Arial"/>
        </w:rPr>
        <w:t>HSxPA</w:t>
      </w:r>
      <w:proofErr w:type="spellEnd"/>
      <w:r w:rsidRPr="005D6855">
        <w:rPr>
          <w:rFonts w:ascii="Arial" w:hAnsi="Arial" w:cs="Arial"/>
        </w:rPr>
        <w:t xml:space="preserve"> és LTE szabványok egyaránt támogatják az FDD (</w:t>
      </w:r>
      <w:proofErr w:type="spellStart"/>
      <w:r w:rsidRPr="005D6855">
        <w:rPr>
          <w:rFonts w:ascii="Arial" w:hAnsi="Arial" w:cs="Arial"/>
        </w:rPr>
        <w:t>Frequency</w:t>
      </w:r>
      <w:proofErr w:type="spellEnd"/>
      <w:r w:rsidRPr="005D6855">
        <w:rPr>
          <w:rFonts w:ascii="Arial" w:hAnsi="Arial" w:cs="Arial"/>
        </w:rPr>
        <w:t xml:space="preserve"> </w:t>
      </w:r>
      <w:proofErr w:type="spellStart"/>
      <w:r w:rsidRPr="005D6855">
        <w:rPr>
          <w:rFonts w:ascii="Arial" w:hAnsi="Arial" w:cs="Arial"/>
        </w:rPr>
        <w:t>Division</w:t>
      </w:r>
      <w:proofErr w:type="spellEnd"/>
      <w:r w:rsidRPr="005D6855">
        <w:rPr>
          <w:rFonts w:ascii="Arial" w:hAnsi="Arial" w:cs="Arial"/>
        </w:rPr>
        <w:t xml:space="preserve"> </w:t>
      </w:r>
      <w:proofErr w:type="spellStart"/>
      <w:r w:rsidRPr="005D6855">
        <w:rPr>
          <w:rFonts w:ascii="Arial" w:hAnsi="Arial" w:cs="Arial"/>
        </w:rPr>
        <w:t>Duplexing</w:t>
      </w:r>
      <w:proofErr w:type="spellEnd"/>
      <w:r w:rsidRPr="005D6855">
        <w:rPr>
          <w:rFonts w:ascii="Arial" w:hAnsi="Arial" w:cs="Arial"/>
        </w:rPr>
        <w:t xml:space="preserve">) és a TDD (Time </w:t>
      </w:r>
      <w:proofErr w:type="spellStart"/>
      <w:r w:rsidRPr="005D6855">
        <w:rPr>
          <w:rFonts w:ascii="Arial" w:hAnsi="Arial" w:cs="Arial"/>
        </w:rPr>
        <w:t>Division</w:t>
      </w:r>
      <w:proofErr w:type="spellEnd"/>
      <w:r w:rsidRPr="005D6855">
        <w:rPr>
          <w:rFonts w:ascii="Arial" w:hAnsi="Arial" w:cs="Arial"/>
        </w:rPr>
        <w:t xml:space="preserve"> </w:t>
      </w:r>
      <w:proofErr w:type="spellStart"/>
      <w:r w:rsidRPr="005D6855">
        <w:rPr>
          <w:rFonts w:ascii="Arial" w:hAnsi="Arial" w:cs="Arial"/>
        </w:rPr>
        <w:t>Duplexing</w:t>
      </w:r>
      <w:proofErr w:type="spellEnd"/>
      <w:r w:rsidRPr="005D6855">
        <w:rPr>
          <w:rFonts w:ascii="Arial" w:hAnsi="Arial" w:cs="Arial"/>
        </w:rPr>
        <w:t>) technológ</w:t>
      </w:r>
      <w:r>
        <w:rPr>
          <w:rFonts w:ascii="Arial" w:hAnsi="Arial" w:cs="Arial"/>
        </w:rPr>
        <w:t>i</w:t>
      </w:r>
      <w:r w:rsidRPr="005D6855">
        <w:rPr>
          <w:rFonts w:ascii="Arial" w:hAnsi="Arial" w:cs="Arial"/>
        </w:rPr>
        <w:t>ák alkalmazását. Az FDD rendszerek párosított frekvenciasávokat</w:t>
      </w:r>
      <w:r w:rsidR="00CD20C9">
        <w:rPr>
          <w:rFonts w:ascii="Arial" w:hAnsi="Arial" w:cs="Arial"/>
        </w:rPr>
        <w:t xml:space="preserve"> (</w:t>
      </w:r>
      <w:proofErr w:type="spellStart"/>
      <w:r w:rsidR="00CD20C9">
        <w:rPr>
          <w:rFonts w:ascii="Arial" w:hAnsi="Arial" w:cs="Arial"/>
        </w:rPr>
        <w:t>Upl</w:t>
      </w:r>
      <w:r w:rsidRPr="005D6855">
        <w:rPr>
          <w:rFonts w:ascii="Arial" w:hAnsi="Arial" w:cs="Arial"/>
        </w:rPr>
        <w:t>ink</w:t>
      </w:r>
      <w:proofErr w:type="spellEnd"/>
      <w:r w:rsidR="00CD20C9">
        <w:rPr>
          <w:rFonts w:ascii="Arial" w:hAnsi="Arial" w:cs="Arial"/>
        </w:rPr>
        <w:t xml:space="preserve"> és </w:t>
      </w:r>
      <w:proofErr w:type="spellStart"/>
      <w:r w:rsidR="00CD20C9">
        <w:rPr>
          <w:rFonts w:ascii="Arial" w:hAnsi="Arial" w:cs="Arial"/>
        </w:rPr>
        <w:t>Dowl</w:t>
      </w:r>
      <w:r>
        <w:rPr>
          <w:rFonts w:ascii="Arial" w:hAnsi="Arial" w:cs="Arial"/>
        </w:rPr>
        <w:t>ink</w:t>
      </w:r>
      <w:proofErr w:type="spellEnd"/>
      <w:r>
        <w:rPr>
          <w:rFonts w:ascii="Arial" w:hAnsi="Arial" w:cs="Arial"/>
        </w:rPr>
        <w:t xml:space="preserve"> sávok szeparáltak), míg a T</w:t>
      </w:r>
      <w:r w:rsidRPr="005D6855">
        <w:rPr>
          <w:rFonts w:ascii="Arial" w:hAnsi="Arial" w:cs="Arial"/>
        </w:rPr>
        <w:t xml:space="preserve">DD rendszerek párosítatlan frekvenciasávokat (az </w:t>
      </w:r>
      <w:r>
        <w:rPr>
          <w:rFonts w:ascii="Arial" w:hAnsi="Arial" w:cs="Arial"/>
        </w:rPr>
        <w:t>UL és DL</w:t>
      </w:r>
      <w:r w:rsidRPr="005D6855">
        <w:rPr>
          <w:rFonts w:ascii="Arial" w:hAnsi="Arial" w:cs="Arial"/>
        </w:rPr>
        <w:t xml:space="preserve"> irányú átvitel időben váltakozik) alkalmaznak a rádiós </w:t>
      </w:r>
      <w:r>
        <w:rPr>
          <w:rFonts w:ascii="Arial" w:hAnsi="Arial" w:cs="Arial"/>
        </w:rPr>
        <w:t>interfészen</w:t>
      </w:r>
      <w:r w:rsidRPr="005D6855">
        <w:rPr>
          <w:rFonts w:ascii="Arial" w:hAnsi="Arial" w:cs="Arial"/>
        </w:rPr>
        <w:t xml:space="preserve">. </w:t>
      </w:r>
      <w:r>
        <w:rPr>
          <w:rFonts w:ascii="Arial" w:hAnsi="Arial" w:cs="Arial"/>
        </w:rPr>
        <w:t xml:space="preserve">Mivel az adatforgalom tipikusan aszimmetrikus, azaz többnyire a letöltési irányban </w:t>
      </w:r>
      <w:r w:rsidR="00CD20C9">
        <w:rPr>
          <w:rFonts w:ascii="Arial" w:hAnsi="Arial" w:cs="Arial"/>
        </w:rPr>
        <w:t>(DL</w:t>
      </w:r>
      <w:r>
        <w:rPr>
          <w:rFonts w:ascii="Arial" w:hAnsi="Arial" w:cs="Arial"/>
        </w:rPr>
        <w:t xml:space="preserve">) van nagyobb adatforgalom, a frekvenciasávok hatékony felhasználása miatt a TDD megoldások – köszönhetően az adaptív UL/DL időzítésnek – kétségtelenül hatékonyabbak az alkalmazott rádió spektrum kihasználása szempontjából. </w:t>
      </w:r>
    </w:p>
    <w:p w:rsidR="00F51CF4" w:rsidRDefault="001657EB" w:rsidP="00D17E41">
      <w:pPr>
        <w:pStyle w:val="NormlWeb"/>
        <w:shd w:val="clear" w:color="auto" w:fill="FFFFFF"/>
        <w:spacing w:before="0" w:beforeAutospacing="0" w:after="0" w:afterAutospacing="0" w:line="360" w:lineRule="auto"/>
        <w:jc w:val="both"/>
        <w:rPr>
          <w:rFonts w:ascii="Arial" w:hAnsi="Arial" w:cs="Arial"/>
        </w:rPr>
      </w:pPr>
      <w:r>
        <w:rPr>
          <w:rFonts w:ascii="Arial" w:hAnsi="Arial" w:cs="Arial"/>
        </w:rPr>
        <w:t xml:space="preserve">A </w:t>
      </w:r>
      <w:r w:rsidR="0013635D">
        <w:rPr>
          <w:rFonts w:ascii="Arial" w:hAnsi="Arial" w:cs="Arial"/>
        </w:rPr>
        <w:t>mobil szolgáltatók</w:t>
      </w:r>
      <w:r>
        <w:rPr>
          <w:rFonts w:ascii="Arial" w:hAnsi="Arial" w:cs="Arial"/>
        </w:rPr>
        <w:t xml:space="preserve"> komoly erőfeszítéseket tesznek annak érdekében, hogy a mobil hálózatokban alkalmazott frekvencia sávok felhasználását, a limitált frekvencia spektrum leghatékonyabb kihasználása és a felhasználók részéről tapasztalható várható nagy sávszélesség és gyors átviteli sebesség igény kielégítése érdekében optimalizálják. </w:t>
      </w:r>
    </w:p>
    <w:p w:rsidR="0099390C" w:rsidRDefault="00D17E41" w:rsidP="00D17E41">
      <w:pPr>
        <w:pStyle w:val="NormlWeb"/>
        <w:shd w:val="clear" w:color="auto" w:fill="FFFFFF"/>
        <w:spacing w:before="0" w:beforeAutospacing="0" w:after="0" w:afterAutospacing="0" w:line="360" w:lineRule="auto"/>
        <w:jc w:val="both"/>
        <w:rPr>
          <w:rFonts w:ascii="Arial" w:hAnsi="Arial" w:cs="Arial"/>
        </w:rPr>
      </w:pPr>
      <w:r w:rsidRPr="00C5173F">
        <w:rPr>
          <w:rFonts w:ascii="Arial" w:hAnsi="Arial" w:cs="Arial"/>
        </w:rPr>
        <w:lastRenderedPageBreak/>
        <w:t xml:space="preserve">Az LTE </w:t>
      </w:r>
      <w:r>
        <w:rPr>
          <w:rFonts w:ascii="Arial" w:hAnsi="Arial" w:cs="Arial"/>
        </w:rPr>
        <w:t xml:space="preserve">hálózatok </w:t>
      </w:r>
      <w:r w:rsidRPr="00C5173F">
        <w:rPr>
          <w:rFonts w:ascii="Arial" w:hAnsi="Arial" w:cs="Arial"/>
        </w:rPr>
        <w:t xml:space="preserve">(mind a rádiós, mind a </w:t>
      </w:r>
      <w:proofErr w:type="spellStart"/>
      <w:r w:rsidRPr="00C5173F">
        <w:rPr>
          <w:rFonts w:ascii="Arial" w:hAnsi="Arial" w:cs="Arial"/>
        </w:rPr>
        <w:t>core</w:t>
      </w:r>
      <w:proofErr w:type="spellEnd"/>
      <w:r w:rsidRPr="00C5173F">
        <w:rPr>
          <w:rFonts w:ascii="Arial" w:hAnsi="Arial" w:cs="Arial"/>
        </w:rPr>
        <w:t xml:space="preserve"> hálózat szempontjából) már számos országban kereskedelmi szolgáltatásokat </w:t>
      </w:r>
      <w:r>
        <w:rPr>
          <w:rFonts w:ascii="Arial" w:hAnsi="Arial" w:cs="Arial"/>
        </w:rPr>
        <w:t xml:space="preserve">nyújtanak. </w:t>
      </w:r>
      <w:r w:rsidRPr="00C5173F">
        <w:rPr>
          <w:rFonts w:ascii="Arial" w:hAnsi="Arial" w:cs="Arial"/>
        </w:rPr>
        <w:t xml:space="preserve">A </w:t>
      </w:r>
      <w:proofErr w:type="spellStart"/>
      <w:r w:rsidRPr="00C5173F">
        <w:rPr>
          <w:rFonts w:ascii="Arial" w:hAnsi="Arial" w:cs="Arial"/>
        </w:rPr>
        <w:t>Release</w:t>
      </w:r>
      <w:proofErr w:type="spellEnd"/>
      <w:r w:rsidRPr="00C5173F">
        <w:rPr>
          <w:rFonts w:ascii="Arial" w:hAnsi="Arial" w:cs="Arial"/>
        </w:rPr>
        <w:t xml:space="preserve"> 8 </w:t>
      </w:r>
      <w:r>
        <w:rPr>
          <w:rFonts w:ascii="Arial" w:hAnsi="Arial" w:cs="Arial"/>
        </w:rPr>
        <w:t xml:space="preserve">szabványsorozat kifejlesztése </w:t>
      </w:r>
      <w:r w:rsidRPr="00C5173F">
        <w:rPr>
          <w:rFonts w:ascii="Arial" w:hAnsi="Arial" w:cs="Arial"/>
        </w:rPr>
        <w:t xml:space="preserve">2008 </w:t>
      </w:r>
      <w:r>
        <w:rPr>
          <w:rFonts w:ascii="Arial" w:hAnsi="Arial" w:cs="Arial"/>
        </w:rPr>
        <w:t>decemberében leállt, de kétségtelenül alapjául szolgált első hullámban az LTE berendezések kifejlesztésének. A R</w:t>
      </w:r>
      <w:r w:rsidRPr="00C5173F">
        <w:rPr>
          <w:rFonts w:ascii="Arial" w:hAnsi="Arial" w:cs="Arial"/>
        </w:rPr>
        <w:t>8</w:t>
      </w:r>
      <w:r>
        <w:rPr>
          <w:rFonts w:ascii="Arial" w:hAnsi="Arial" w:cs="Arial"/>
        </w:rPr>
        <w:t xml:space="preserve">-ban megalapozott LTE specifikációk a </w:t>
      </w:r>
      <w:proofErr w:type="spellStart"/>
      <w:r>
        <w:rPr>
          <w:rFonts w:ascii="Arial" w:hAnsi="Arial" w:cs="Arial"/>
        </w:rPr>
        <w:t>Release</w:t>
      </w:r>
      <w:proofErr w:type="spellEnd"/>
      <w:r>
        <w:rPr>
          <w:rFonts w:ascii="Arial" w:hAnsi="Arial" w:cs="Arial"/>
        </w:rPr>
        <w:t xml:space="preserve"> 9 szabványokban kerültek továbbfejlesztésre, azonban ezek véglegesítésére sem került sor, ugyanis 2009 decemberében, hasonlóan az R8-hoz a szabványok kifejlesztése befagyott. A </w:t>
      </w:r>
      <w:proofErr w:type="spellStart"/>
      <w:r>
        <w:rPr>
          <w:rFonts w:ascii="Arial" w:hAnsi="Arial" w:cs="Arial"/>
        </w:rPr>
        <w:t>Release</w:t>
      </w:r>
      <w:proofErr w:type="spellEnd"/>
      <w:r>
        <w:rPr>
          <w:rFonts w:ascii="Arial" w:hAnsi="Arial" w:cs="Arial"/>
        </w:rPr>
        <w:t xml:space="preserve"> 10</w:t>
      </w:r>
      <w:r w:rsidR="0099390C">
        <w:rPr>
          <w:rFonts w:ascii="Arial" w:hAnsi="Arial" w:cs="Arial"/>
        </w:rPr>
        <w:t xml:space="preserve"> és néhány vonatkozásban a </w:t>
      </w:r>
      <w:proofErr w:type="spellStart"/>
      <w:r w:rsidR="0099390C">
        <w:rPr>
          <w:rFonts w:ascii="Arial" w:hAnsi="Arial" w:cs="Arial"/>
        </w:rPr>
        <w:t>Release</w:t>
      </w:r>
      <w:proofErr w:type="spellEnd"/>
      <w:r w:rsidR="0099390C">
        <w:rPr>
          <w:rFonts w:ascii="Arial" w:hAnsi="Arial" w:cs="Arial"/>
        </w:rPr>
        <w:t xml:space="preserve"> 11</w:t>
      </w:r>
      <w:r>
        <w:rPr>
          <w:rFonts w:ascii="Arial" w:hAnsi="Arial" w:cs="Arial"/>
        </w:rPr>
        <w:t xml:space="preserve"> (</w:t>
      </w:r>
      <w:proofErr w:type="spellStart"/>
      <w:r>
        <w:rPr>
          <w:rFonts w:ascii="Arial" w:hAnsi="Arial" w:cs="Arial"/>
        </w:rPr>
        <w:t>Evolved</w:t>
      </w:r>
      <w:proofErr w:type="spellEnd"/>
      <w:r>
        <w:rPr>
          <w:rFonts w:ascii="Arial" w:hAnsi="Arial" w:cs="Arial"/>
        </w:rPr>
        <w:t xml:space="preserve"> LTE) szabványok kidolgozása már megkezdődött, de egyelőre </w:t>
      </w:r>
      <w:r w:rsidR="00E7510F">
        <w:rPr>
          <w:rFonts w:ascii="Arial" w:hAnsi="Arial" w:cs="Arial"/>
        </w:rPr>
        <w:t xml:space="preserve">többnyire </w:t>
      </w:r>
      <w:r w:rsidR="0013635D">
        <w:rPr>
          <w:rFonts w:ascii="Arial" w:hAnsi="Arial" w:cs="Arial"/>
        </w:rPr>
        <w:t>elképzelések</w:t>
      </w:r>
      <w:r w:rsidR="0099390C">
        <w:rPr>
          <w:rFonts w:ascii="Arial" w:hAnsi="Arial" w:cs="Arial"/>
        </w:rPr>
        <w:t xml:space="preserve"> vannak, a szabványrendszer teljes kidolgozása még nem ért véget. </w:t>
      </w:r>
    </w:p>
    <w:p w:rsidR="00D17E41" w:rsidRDefault="00D17E41" w:rsidP="00D17E41">
      <w:pPr>
        <w:pStyle w:val="NormlWeb"/>
        <w:shd w:val="clear" w:color="auto" w:fill="FFFFFF"/>
        <w:spacing w:before="0" w:beforeAutospacing="0" w:after="0" w:afterAutospacing="0" w:line="360" w:lineRule="auto"/>
        <w:jc w:val="both"/>
        <w:rPr>
          <w:rFonts w:ascii="Arial" w:hAnsi="Arial" w:cs="Arial"/>
        </w:rPr>
      </w:pPr>
      <w:r w:rsidRPr="0056162E">
        <w:rPr>
          <w:rFonts w:ascii="Arial" w:hAnsi="Arial" w:cs="Arial"/>
        </w:rPr>
        <w:t xml:space="preserve">Az LTE rendszerek spektrális hatékonysága az </w:t>
      </w:r>
      <w:proofErr w:type="spellStart"/>
      <w:r w:rsidRPr="0056162E">
        <w:rPr>
          <w:rFonts w:ascii="Arial" w:hAnsi="Arial" w:cs="Arial"/>
        </w:rPr>
        <w:t>UTRA-ban</w:t>
      </w:r>
      <w:proofErr w:type="spellEnd"/>
      <w:r w:rsidRPr="0056162E">
        <w:rPr>
          <w:rFonts w:ascii="Arial" w:hAnsi="Arial" w:cs="Arial"/>
        </w:rPr>
        <w:t xml:space="preserve"> (3G/UMTS) alkalmazott megoldás</w:t>
      </w:r>
      <w:r w:rsidR="00F51CF4">
        <w:rPr>
          <w:rFonts w:ascii="Arial" w:hAnsi="Arial" w:cs="Arial"/>
        </w:rPr>
        <w:t>okhoz képest négyszeresére nő</w:t>
      </w:r>
      <w:r w:rsidR="0099390C">
        <w:rPr>
          <w:rFonts w:ascii="Arial" w:hAnsi="Arial" w:cs="Arial"/>
        </w:rPr>
        <w:t>tt</w:t>
      </w:r>
      <w:r w:rsidRPr="0056162E">
        <w:rPr>
          <w:rFonts w:ascii="Arial" w:hAnsi="Arial" w:cs="Arial"/>
        </w:rPr>
        <w:t xml:space="preserve">, továbbá a </w:t>
      </w:r>
      <w:proofErr w:type="spellStart"/>
      <w:r w:rsidRPr="0056162E">
        <w:rPr>
          <w:rFonts w:ascii="Arial" w:hAnsi="Arial" w:cs="Arial"/>
        </w:rPr>
        <w:t>Multiple</w:t>
      </w:r>
      <w:proofErr w:type="spellEnd"/>
      <w:r w:rsidRPr="0056162E">
        <w:rPr>
          <w:rFonts w:ascii="Arial" w:hAnsi="Arial" w:cs="Arial"/>
        </w:rPr>
        <w:t xml:space="preserve"> Input / </w:t>
      </w:r>
      <w:proofErr w:type="spellStart"/>
      <w:r w:rsidRPr="0056162E">
        <w:rPr>
          <w:rFonts w:ascii="Arial" w:hAnsi="Arial" w:cs="Arial"/>
        </w:rPr>
        <w:t>Multiple</w:t>
      </w:r>
      <w:proofErr w:type="spellEnd"/>
      <w:r w:rsidRPr="0056162E">
        <w:rPr>
          <w:rFonts w:ascii="Arial" w:hAnsi="Arial" w:cs="Arial"/>
        </w:rPr>
        <w:t xml:space="preserve"> Output (MIMO) antennák alkalmazásával az új technológia a WCDMA (3G) technológiához képest cellánként </w:t>
      </w:r>
      <w:r w:rsidR="0013635D">
        <w:rPr>
          <w:rFonts w:ascii="Arial" w:hAnsi="Arial" w:cs="Arial"/>
        </w:rPr>
        <w:t xml:space="preserve">több mint </w:t>
      </w:r>
      <w:r w:rsidRPr="0056162E">
        <w:rPr>
          <w:rFonts w:ascii="Arial" w:hAnsi="Arial" w:cs="Arial"/>
        </w:rPr>
        <w:t>10-szer annyi felhasználó kiszolgálását teszi lehetővé. Az FDD (párosított) és TDD (párosítatlan) frekvenciasávok együttes alkalmazása lehetővé teszi a szolgáltatás minőségtől (</w:t>
      </w:r>
      <w:proofErr w:type="spellStart"/>
      <w:r w:rsidRPr="0056162E">
        <w:rPr>
          <w:rFonts w:ascii="Arial" w:hAnsi="Arial" w:cs="Arial"/>
        </w:rPr>
        <w:t>QoS</w:t>
      </w:r>
      <w:proofErr w:type="spellEnd"/>
      <w:r w:rsidRPr="0056162E">
        <w:rPr>
          <w:rFonts w:ascii="Arial" w:hAnsi="Arial" w:cs="Arial"/>
        </w:rPr>
        <w:t xml:space="preserve">) függő frekvenciaallokálás tervezését is, így a rádiós erőforrások a felhasználó által igényelt optimális frekvencia sávszélességre dinamikusan változtathatók.   </w:t>
      </w:r>
    </w:p>
    <w:p w:rsidR="00D17E41" w:rsidRDefault="00D17E41" w:rsidP="00D17E4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F51CF4">
        <w:rPr>
          <w:rFonts w:ascii="Arial" w:hAnsi="Arial" w:cs="Arial"/>
          <w:sz w:val="24"/>
          <w:szCs w:val="24"/>
        </w:rPr>
        <w:t xml:space="preserve">z </w:t>
      </w:r>
      <w:r>
        <w:rPr>
          <w:rFonts w:ascii="Arial" w:hAnsi="Arial" w:cs="Arial"/>
          <w:sz w:val="24"/>
          <w:szCs w:val="24"/>
        </w:rPr>
        <w:t>OVUM becslése alapján 2015-re 89 millió</w:t>
      </w:r>
      <w:r w:rsidRPr="00635B18">
        <w:rPr>
          <w:rFonts w:ascii="Arial" w:hAnsi="Arial" w:cs="Arial"/>
          <w:sz w:val="24"/>
          <w:szCs w:val="24"/>
        </w:rPr>
        <w:t xml:space="preserve"> LTE TDD </w:t>
      </w:r>
      <w:r>
        <w:rPr>
          <w:rFonts w:ascii="Arial" w:hAnsi="Arial" w:cs="Arial"/>
          <w:sz w:val="24"/>
          <w:szCs w:val="24"/>
        </w:rPr>
        <w:t xml:space="preserve">összeköttetés jósolható, ami az összes LTE összeköttetések kb. 25%-a lesz, habár az elemzők szerint a HSPA/HSPA+ technológia a következő öt évben még mindig meghatározó lesz a szélessávú mobil összeköttetések terén. </w:t>
      </w:r>
    </w:p>
    <w:p w:rsidR="00943601" w:rsidRPr="00E02EF5" w:rsidRDefault="00943601" w:rsidP="0013635D">
      <w:pPr>
        <w:pStyle w:val="NormlWeb"/>
        <w:numPr>
          <w:ilvl w:val="0"/>
          <w:numId w:val="4"/>
        </w:numPr>
        <w:shd w:val="clear" w:color="auto" w:fill="FFFFFF"/>
        <w:rPr>
          <w:rStyle w:val="bodycontent"/>
          <w:rFonts w:ascii="Arial" w:hAnsi="Arial" w:cs="Arial"/>
          <w:b/>
        </w:rPr>
      </w:pPr>
      <w:r w:rsidRPr="00E02EF5">
        <w:rPr>
          <w:rStyle w:val="bodycontent"/>
          <w:rFonts w:ascii="Arial" w:hAnsi="Arial" w:cs="Arial"/>
          <w:b/>
        </w:rPr>
        <w:t>TDD sávok alkalmazása a jelenlegi gyakorlatban</w:t>
      </w:r>
    </w:p>
    <w:p w:rsidR="00F51CF4" w:rsidRPr="00912182" w:rsidRDefault="00736864" w:rsidP="0099390C">
      <w:pPr>
        <w:pStyle w:val="NormlWeb"/>
        <w:shd w:val="clear" w:color="auto" w:fill="FFFFFF"/>
        <w:spacing w:line="360" w:lineRule="auto"/>
        <w:jc w:val="both"/>
        <w:rPr>
          <w:rStyle w:val="bodycontent"/>
          <w:rFonts w:ascii="Arial" w:hAnsi="Arial" w:cs="Arial"/>
        </w:rPr>
      </w:pPr>
      <w:r w:rsidRPr="00912182">
        <w:rPr>
          <w:rStyle w:val="bodycontent"/>
          <w:rFonts w:ascii="Arial" w:hAnsi="Arial" w:cs="Arial"/>
        </w:rPr>
        <w:t>Az operátorok olyan új hálózati topológiák kialakítására törekszenek, amelyek célja a rendelkezésükre álló rádióspektrum spektrális hatékonyságának növelése, az alkalmazott frekvenciasávok lehetséges maximális kihasználása. Bár ebben a kérdésben m</w:t>
      </w:r>
      <w:r w:rsidR="0099390C" w:rsidRPr="00912182">
        <w:rPr>
          <w:rStyle w:val="bodycontent"/>
          <w:rFonts w:ascii="Arial" w:hAnsi="Arial" w:cs="Arial"/>
        </w:rPr>
        <w:t>ég viszonylag kevés</w:t>
      </w:r>
      <w:r w:rsidR="0013635D">
        <w:rPr>
          <w:rStyle w:val="bodycontent"/>
          <w:rFonts w:ascii="Arial" w:hAnsi="Arial" w:cs="Arial"/>
        </w:rPr>
        <w:t xml:space="preserve"> az akti</w:t>
      </w:r>
      <w:r w:rsidRPr="00912182">
        <w:rPr>
          <w:rStyle w:val="bodycontent"/>
          <w:rFonts w:ascii="Arial" w:hAnsi="Arial" w:cs="Arial"/>
        </w:rPr>
        <w:t>v</w:t>
      </w:r>
      <w:r w:rsidR="0013635D">
        <w:rPr>
          <w:rStyle w:val="bodycontent"/>
          <w:rFonts w:ascii="Arial" w:hAnsi="Arial" w:cs="Arial"/>
        </w:rPr>
        <w:t>itás</w:t>
      </w:r>
      <w:r w:rsidRPr="00912182">
        <w:rPr>
          <w:rStyle w:val="bodycontent"/>
          <w:rFonts w:ascii="Arial" w:hAnsi="Arial" w:cs="Arial"/>
        </w:rPr>
        <w:t xml:space="preserve">, de kétségtelen, hogy az elképzelések már nem csak a tervezési fázisban vannak. 2011-ben a </w:t>
      </w:r>
      <w:proofErr w:type="gramStart"/>
      <w:r w:rsidRPr="00912182">
        <w:rPr>
          <w:rStyle w:val="bodycontent"/>
          <w:rFonts w:ascii="Arial" w:hAnsi="Arial" w:cs="Arial"/>
        </w:rPr>
        <w:t>kis méretű</w:t>
      </w:r>
      <w:proofErr w:type="gramEnd"/>
      <w:r w:rsidRPr="00912182">
        <w:rPr>
          <w:rStyle w:val="bodycontent"/>
          <w:rFonts w:ascii="Arial" w:hAnsi="Arial" w:cs="Arial"/>
        </w:rPr>
        <w:t xml:space="preserve"> </w:t>
      </w:r>
      <w:r w:rsidR="0099390C" w:rsidRPr="00912182">
        <w:rPr>
          <w:rStyle w:val="bodycontent"/>
          <w:rFonts w:ascii="Arial" w:hAnsi="Arial" w:cs="Arial"/>
        </w:rPr>
        <w:t xml:space="preserve">TDD </w:t>
      </w:r>
      <w:r w:rsidRPr="00912182">
        <w:rPr>
          <w:rStyle w:val="bodycontent"/>
          <w:rFonts w:ascii="Arial" w:hAnsi="Arial" w:cs="Arial"/>
        </w:rPr>
        <w:t>(</w:t>
      </w:r>
      <w:proofErr w:type="spellStart"/>
      <w:r w:rsidRPr="00912182">
        <w:rPr>
          <w:rStyle w:val="bodycontent"/>
          <w:rFonts w:ascii="Arial" w:hAnsi="Arial" w:cs="Arial"/>
        </w:rPr>
        <w:t>picocella</w:t>
      </w:r>
      <w:proofErr w:type="spellEnd"/>
      <w:r w:rsidRPr="00912182">
        <w:rPr>
          <w:rStyle w:val="bodycontent"/>
          <w:rFonts w:ascii="Arial" w:hAnsi="Arial" w:cs="Arial"/>
        </w:rPr>
        <w:t xml:space="preserve">) cellák alkalmazása már </w:t>
      </w:r>
      <w:r w:rsidR="0013635D">
        <w:rPr>
          <w:rStyle w:val="bodycontent"/>
          <w:rFonts w:ascii="Arial" w:hAnsi="Arial" w:cs="Arial"/>
        </w:rPr>
        <w:t xml:space="preserve">világszerte </w:t>
      </w:r>
      <w:r w:rsidRPr="00912182">
        <w:rPr>
          <w:rStyle w:val="bodycontent"/>
          <w:rFonts w:ascii="Arial" w:hAnsi="Arial" w:cs="Arial"/>
        </w:rPr>
        <w:t xml:space="preserve">egységesen elfogadott megoldás volt, </w:t>
      </w:r>
      <w:r w:rsidR="0099390C" w:rsidRPr="00912182">
        <w:rPr>
          <w:rStyle w:val="bodycontent"/>
          <w:rFonts w:ascii="Arial" w:hAnsi="Arial" w:cs="Arial"/>
        </w:rPr>
        <w:t xml:space="preserve">azonban az igazi áttörést a 2012-es év jelenti, amikor a kereskedelmi szolgáltatások alkalmazásában többnyire ez a megoldás a jellemző. </w:t>
      </w:r>
    </w:p>
    <w:p w:rsidR="00792403" w:rsidRPr="00912182" w:rsidRDefault="0099390C" w:rsidP="00792403">
      <w:pPr>
        <w:pStyle w:val="NormlWeb"/>
        <w:shd w:val="clear" w:color="auto" w:fill="FFFFFF"/>
        <w:spacing w:line="360" w:lineRule="auto"/>
        <w:jc w:val="both"/>
        <w:rPr>
          <w:rStyle w:val="bodycontent"/>
          <w:rFonts w:ascii="Arial" w:hAnsi="Arial" w:cs="Arial"/>
        </w:rPr>
      </w:pPr>
      <w:r w:rsidRPr="00912182">
        <w:rPr>
          <w:rStyle w:val="bodycontent"/>
          <w:rFonts w:ascii="Arial" w:hAnsi="Arial" w:cs="Arial"/>
        </w:rPr>
        <w:lastRenderedPageBreak/>
        <w:t xml:space="preserve">Az LTE TDD sikere kétségtelen, egyre nagyobb körben elfogadott és alkalmazott frekvenciahatékonyság növelő megoldásnak számít, mint ahogy azt számos példa is mutatja (Kína, India, USA, stb.). </w:t>
      </w:r>
      <w:r w:rsidR="00792403" w:rsidRPr="00912182">
        <w:rPr>
          <w:rStyle w:val="bodycontent"/>
          <w:rFonts w:ascii="Arial" w:hAnsi="Arial" w:cs="Arial"/>
        </w:rPr>
        <w:t>Kínában 2011 végéig összesen 6 nagyvárosban 864</w:t>
      </w:r>
      <w:r w:rsidR="00792403">
        <w:rPr>
          <w:rStyle w:val="bodycontent"/>
          <w:rFonts w:ascii="Arial" w:hAnsi="Arial" w:cs="Arial"/>
        </w:rPr>
        <w:t xml:space="preserve"> TDD</w:t>
      </w:r>
      <w:r w:rsidR="00792403" w:rsidRPr="00912182">
        <w:rPr>
          <w:rStyle w:val="bodycontent"/>
          <w:rFonts w:ascii="Arial" w:hAnsi="Arial" w:cs="Arial"/>
        </w:rPr>
        <w:t xml:space="preserve"> állomás (738 kültéri </w:t>
      </w:r>
      <w:proofErr w:type="spellStart"/>
      <w:r w:rsidR="00792403" w:rsidRPr="00912182">
        <w:rPr>
          <w:rStyle w:val="bodycontent"/>
          <w:rFonts w:ascii="Arial" w:hAnsi="Arial" w:cs="Arial"/>
        </w:rPr>
        <w:t>macrosite</w:t>
      </w:r>
      <w:proofErr w:type="spellEnd"/>
      <w:r w:rsidR="00792403" w:rsidRPr="00912182">
        <w:rPr>
          <w:rStyle w:val="bodycontent"/>
          <w:rFonts w:ascii="Arial" w:hAnsi="Arial" w:cs="Arial"/>
        </w:rPr>
        <w:t xml:space="preserve"> és 81 beltéri </w:t>
      </w:r>
      <w:proofErr w:type="spellStart"/>
      <w:r w:rsidR="00792403" w:rsidRPr="00912182">
        <w:rPr>
          <w:rStyle w:val="bodycontent"/>
          <w:rFonts w:ascii="Arial" w:hAnsi="Arial" w:cs="Arial"/>
        </w:rPr>
        <w:t>microsite</w:t>
      </w:r>
      <w:proofErr w:type="spellEnd"/>
      <w:r w:rsidR="00792403" w:rsidRPr="00912182">
        <w:rPr>
          <w:rStyle w:val="bodycontent"/>
          <w:rFonts w:ascii="Arial" w:hAnsi="Arial" w:cs="Arial"/>
        </w:rPr>
        <w:t xml:space="preserve">) került letelepítésre és tesztelésre. A tesztek a </w:t>
      </w:r>
      <w:proofErr w:type="spellStart"/>
      <w:r w:rsidR="00792403" w:rsidRPr="00912182">
        <w:rPr>
          <w:rStyle w:val="bodycontent"/>
          <w:rFonts w:ascii="Arial" w:hAnsi="Arial" w:cs="Arial"/>
        </w:rPr>
        <w:t>core</w:t>
      </w:r>
      <w:proofErr w:type="spellEnd"/>
      <w:r w:rsidR="00792403" w:rsidRPr="00912182">
        <w:rPr>
          <w:rStyle w:val="bodycontent"/>
          <w:rFonts w:ascii="Arial" w:hAnsi="Arial" w:cs="Arial"/>
        </w:rPr>
        <w:t xml:space="preserve"> </w:t>
      </w:r>
      <w:proofErr w:type="spellStart"/>
      <w:r w:rsidR="00792403" w:rsidRPr="00912182">
        <w:rPr>
          <w:rStyle w:val="bodycontent"/>
          <w:rFonts w:ascii="Arial" w:hAnsi="Arial" w:cs="Arial"/>
        </w:rPr>
        <w:t>network</w:t>
      </w:r>
      <w:proofErr w:type="spellEnd"/>
      <w:r w:rsidR="00792403" w:rsidRPr="00912182">
        <w:rPr>
          <w:rStyle w:val="bodycontent"/>
          <w:rFonts w:ascii="Arial" w:hAnsi="Arial" w:cs="Arial"/>
        </w:rPr>
        <w:t xml:space="preserve">, a transzport hálózat, a biztonság a rádiós hálózat és a hálózat menedzsment vizsgálatára terjedtek ki. A rádiós hálózat tesztelését a beltéri lefedettség, a MIMO antennák, a készülékek és a hálózat önszerveződésének (SON: </w:t>
      </w:r>
      <w:proofErr w:type="spellStart"/>
      <w:r w:rsidR="00792403" w:rsidRPr="00912182">
        <w:rPr>
          <w:rStyle w:val="bodycontent"/>
          <w:rFonts w:ascii="Arial" w:hAnsi="Arial" w:cs="Arial"/>
        </w:rPr>
        <w:t>Self</w:t>
      </w:r>
      <w:proofErr w:type="spellEnd"/>
      <w:r w:rsidR="00792403" w:rsidRPr="00912182">
        <w:rPr>
          <w:rStyle w:val="bodycontent"/>
          <w:rFonts w:ascii="Arial" w:hAnsi="Arial" w:cs="Arial"/>
        </w:rPr>
        <w:t xml:space="preserve"> </w:t>
      </w:r>
      <w:proofErr w:type="spellStart"/>
      <w:r w:rsidR="00792403" w:rsidRPr="00912182">
        <w:rPr>
          <w:rStyle w:val="bodycontent"/>
          <w:rFonts w:ascii="Arial" w:hAnsi="Arial" w:cs="Arial"/>
        </w:rPr>
        <w:t>organizing</w:t>
      </w:r>
      <w:proofErr w:type="spellEnd"/>
      <w:r w:rsidR="00792403" w:rsidRPr="00912182">
        <w:rPr>
          <w:rStyle w:val="bodycontent"/>
          <w:rFonts w:ascii="Arial" w:hAnsi="Arial" w:cs="Arial"/>
        </w:rPr>
        <w:t xml:space="preserve"> Network) tekintetében végezték el. </w:t>
      </w:r>
    </w:p>
    <w:p w:rsidR="00900140" w:rsidRPr="00900140" w:rsidRDefault="009D7968" w:rsidP="00900140">
      <w:pPr>
        <w:pStyle w:val="NormlWeb"/>
        <w:shd w:val="clear" w:color="auto" w:fill="FFFFFF"/>
        <w:spacing w:line="360" w:lineRule="auto"/>
        <w:jc w:val="both"/>
        <w:rPr>
          <w:rStyle w:val="bodycontent"/>
          <w:rFonts w:ascii="Arial" w:hAnsi="Arial" w:cs="Arial"/>
        </w:rPr>
      </w:pPr>
      <w:r w:rsidRPr="00912182">
        <w:rPr>
          <w:rStyle w:val="bodycontent"/>
          <w:rFonts w:ascii="Arial" w:hAnsi="Arial" w:cs="Arial"/>
        </w:rPr>
        <w:t>A</w:t>
      </w:r>
      <w:r w:rsidR="00E02EF5">
        <w:rPr>
          <w:rStyle w:val="bodycontent"/>
          <w:rFonts w:ascii="Arial" w:hAnsi="Arial" w:cs="Arial"/>
        </w:rPr>
        <w:t>z operátoroknak a</w:t>
      </w:r>
      <w:r w:rsidRPr="00912182">
        <w:rPr>
          <w:rStyle w:val="bodycontent"/>
          <w:rFonts w:ascii="Arial" w:hAnsi="Arial" w:cs="Arial"/>
        </w:rPr>
        <w:t xml:space="preserve"> legtöbb fejtörést az FDD és TDD együttes alkalmazásának megoldása</w:t>
      </w:r>
      <w:r w:rsidR="00E02EF5">
        <w:rPr>
          <w:rStyle w:val="bodycontent"/>
          <w:rFonts w:ascii="Arial" w:hAnsi="Arial" w:cs="Arial"/>
        </w:rPr>
        <w:t xml:space="preserve"> jelenti, ezt jelzi, hogy</w:t>
      </w:r>
      <w:r w:rsidRPr="00912182">
        <w:rPr>
          <w:rStyle w:val="bodycontent"/>
          <w:rFonts w:ascii="Arial" w:hAnsi="Arial" w:cs="Arial"/>
        </w:rPr>
        <w:t xml:space="preserve"> az operátorok által megvásárolt TDD sávok még többnyire kihasználatlanok. 2010 végén a kereskedelmi LTE szolgáltatók száma világszerte nem haladta meg a </w:t>
      </w:r>
      <w:r w:rsidR="00992293" w:rsidRPr="00912182">
        <w:rPr>
          <w:rStyle w:val="bodycontent"/>
          <w:rFonts w:ascii="Arial" w:hAnsi="Arial" w:cs="Arial"/>
        </w:rPr>
        <w:t>hú</w:t>
      </w:r>
      <w:r w:rsidR="00900140">
        <w:rPr>
          <w:rStyle w:val="bodycontent"/>
          <w:rFonts w:ascii="Arial" w:hAnsi="Arial" w:cs="Arial"/>
        </w:rPr>
        <w:t xml:space="preserve">szat.  </w:t>
      </w:r>
    </w:p>
    <w:p w:rsidR="006527C3" w:rsidRDefault="00792403" w:rsidP="00A7029C">
      <w:pPr>
        <w:pStyle w:val="NormlWeb"/>
        <w:shd w:val="clear" w:color="auto" w:fill="FFFFFF"/>
        <w:spacing w:line="360" w:lineRule="auto"/>
        <w:jc w:val="both"/>
        <w:rPr>
          <w:rStyle w:val="bodycontent"/>
          <w:rFonts w:ascii="Arial" w:hAnsi="Arial" w:cs="Arial"/>
        </w:rPr>
      </w:pPr>
      <w:r>
        <w:rPr>
          <w:rStyle w:val="bodycontent"/>
          <w:rFonts w:ascii="Arial" w:hAnsi="Arial" w:cs="Arial"/>
        </w:rPr>
        <w:t xml:space="preserve">A GSA </w:t>
      </w:r>
      <w:r w:rsidRPr="00600380">
        <w:rPr>
          <w:rStyle w:val="bodycontent"/>
          <w:rFonts w:ascii="Arial" w:hAnsi="Arial" w:cs="Arial"/>
        </w:rPr>
        <w:t>(</w:t>
      </w:r>
      <w:r w:rsidRPr="00600380">
        <w:rPr>
          <w:rFonts w:ascii="Arial" w:hAnsi="Arial" w:cs="Arial"/>
          <w:shd w:val="clear" w:color="auto" w:fill="FFFFFF"/>
        </w:rPr>
        <w:t xml:space="preserve">Global mobile </w:t>
      </w:r>
      <w:proofErr w:type="spellStart"/>
      <w:r w:rsidRPr="00600380">
        <w:rPr>
          <w:rFonts w:ascii="Arial" w:hAnsi="Arial" w:cs="Arial"/>
          <w:shd w:val="clear" w:color="auto" w:fill="FFFFFF"/>
        </w:rPr>
        <w:t>Suppliers</w:t>
      </w:r>
      <w:proofErr w:type="spellEnd"/>
      <w:r w:rsidRPr="00600380">
        <w:rPr>
          <w:rFonts w:ascii="Arial" w:hAnsi="Arial" w:cs="Arial"/>
          <w:shd w:val="clear" w:color="auto" w:fill="FFFFFF"/>
        </w:rPr>
        <w:t xml:space="preserve"> </w:t>
      </w:r>
      <w:proofErr w:type="spellStart"/>
      <w:r w:rsidRPr="00600380">
        <w:rPr>
          <w:rFonts w:ascii="Arial" w:hAnsi="Arial" w:cs="Arial"/>
          <w:shd w:val="clear" w:color="auto" w:fill="FFFFFF"/>
        </w:rPr>
        <w:t>Association</w:t>
      </w:r>
      <w:proofErr w:type="spellEnd"/>
      <w:r w:rsidRPr="00600380">
        <w:rPr>
          <w:rFonts w:ascii="Arial" w:hAnsi="Arial" w:cs="Arial"/>
          <w:shd w:val="clear" w:color="auto" w:fill="FFFFFF"/>
        </w:rPr>
        <w:t xml:space="preserve">) </w:t>
      </w:r>
      <w:proofErr w:type="gramStart"/>
      <w:r>
        <w:rPr>
          <w:rStyle w:val="bodycontent"/>
          <w:rFonts w:ascii="Arial" w:hAnsi="Arial" w:cs="Arial"/>
        </w:rPr>
        <w:t>2012 szeptember</w:t>
      </w:r>
      <w:proofErr w:type="gramEnd"/>
      <w:r>
        <w:rPr>
          <w:rStyle w:val="bodycontent"/>
          <w:rFonts w:ascii="Arial" w:hAnsi="Arial" w:cs="Arial"/>
        </w:rPr>
        <w:t xml:space="preserve"> 11-én kiadott gyorsjelentésében közzétette, hogy a </w:t>
      </w:r>
      <w:r w:rsidR="00C623DF">
        <w:rPr>
          <w:rStyle w:val="bodycontent"/>
          <w:rFonts w:ascii="Arial" w:hAnsi="Arial" w:cs="Arial"/>
        </w:rPr>
        <w:t>jelzett időpontig</w:t>
      </w:r>
      <w:r>
        <w:rPr>
          <w:rStyle w:val="bodycontent"/>
          <w:rFonts w:ascii="Arial" w:hAnsi="Arial" w:cs="Arial"/>
        </w:rPr>
        <w:t xml:space="preserve"> 96 LTE operátor, 46 országban indította el kereskedelmi szolgáltatásait. A </w:t>
      </w:r>
      <w:r w:rsidRPr="00900140">
        <w:rPr>
          <w:rStyle w:val="bodycontent"/>
          <w:rFonts w:ascii="Arial" w:hAnsi="Arial" w:cs="Arial"/>
        </w:rPr>
        <w:t xml:space="preserve">GSA </w:t>
      </w:r>
      <w:r>
        <w:rPr>
          <w:rStyle w:val="bodycontent"/>
          <w:rFonts w:ascii="Arial" w:hAnsi="Arial" w:cs="Arial"/>
        </w:rPr>
        <w:t>2012 végére 152 kereskedelmi</w:t>
      </w:r>
      <w:r w:rsidRPr="00900140">
        <w:rPr>
          <w:rStyle w:val="bodycontent"/>
          <w:rFonts w:ascii="Arial" w:hAnsi="Arial" w:cs="Arial"/>
        </w:rPr>
        <w:t xml:space="preserve"> LTE </w:t>
      </w:r>
      <w:r>
        <w:rPr>
          <w:rStyle w:val="bodycontent"/>
          <w:rFonts w:ascii="Arial" w:hAnsi="Arial" w:cs="Arial"/>
        </w:rPr>
        <w:t>hálózatot prognosztizál összesen 65 országban, és több mint 400 lesz a piacon kapható LTE eszközök száma, amelyek kb. egyharmada képes LTE TDD módban is működn</w:t>
      </w:r>
      <w:r w:rsidR="00C623DF">
        <w:rPr>
          <w:rStyle w:val="bodycontent"/>
          <w:rFonts w:ascii="Arial" w:hAnsi="Arial" w:cs="Arial"/>
        </w:rPr>
        <w:t xml:space="preserve">i. </w:t>
      </w:r>
    </w:p>
    <w:p w:rsidR="006527C3" w:rsidRDefault="006527C3" w:rsidP="00A7029C">
      <w:pPr>
        <w:pStyle w:val="NormlWeb"/>
        <w:shd w:val="clear" w:color="auto" w:fill="FFFFFF"/>
        <w:spacing w:line="360" w:lineRule="auto"/>
        <w:jc w:val="both"/>
      </w:pPr>
      <w:r>
        <w:object w:dxaOrig="8709" w:dyaOrig="4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17.5pt" o:ole="">
            <v:imagedata r:id="rId5" o:title=""/>
          </v:shape>
          <o:OLEObject Type="Embed" ProgID="Photoshop.Image.10" ShapeID="_x0000_i1025" DrawAspect="Content" ObjectID="_1410554398" r:id="rId6">
            <o:FieldCodes>\s</o:FieldCodes>
          </o:OLEObject>
        </w:object>
      </w:r>
    </w:p>
    <w:p w:rsidR="00F04CCA" w:rsidRDefault="006527C3" w:rsidP="00F04CCA">
      <w:pPr>
        <w:pStyle w:val="NormlWeb"/>
        <w:shd w:val="clear" w:color="auto" w:fill="FFFFFF"/>
        <w:spacing w:line="360" w:lineRule="auto"/>
        <w:jc w:val="center"/>
        <w:rPr>
          <w:rFonts w:ascii="Arial" w:hAnsi="Arial" w:cs="Arial"/>
          <w:i/>
        </w:rPr>
      </w:pPr>
      <w:r w:rsidRPr="00F04CCA">
        <w:rPr>
          <w:rFonts w:ascii="Arial" w:hAnsi="Arial" w:cs="Arial"/>
          <w:i/>
        </w:rPr>
        <w:t xml:space="preserve">LTE TDD hálózatok elterjedése a világban </w:t>
      </w:r>
      <w:r w:rsidR="00F04CCA" w:rsidRPr="00F04CCA">
        <w:rPr>
          <w:rFonts w:ascii="Arial" w:hAnsi="Arial" w:cs="Arial"/>
          <w:i/>
        </w:rPr>
        <w:t xml:space="preserve">a GSA jelentésében </w:t>
      </w:r>
    </w:p>
    <w:p w:rsidR="0073504C" w:rsidRDefault="00C623DF" w:rsidP="00C623DF">
      <w:pPr>
        <w:pStyle w:val="NormlWeb"/>
        <w:shd w:val="clear" w:color="auto" w:fill="FFFFFF"/>
        <w:spacing w:line="360" w:lineRule="auto"/>
        <w:jc w:val="both"/>
        <w:rPr>
          <w:rStyle w:val="bodycontent"/>
          <w:rFonts w:ascii="Arial" w:hAnsi="Arial" w:cs="Arial"/>
        </w:rPr>
      </w:pPr>
      <w:r>
        <w:rPr>
          <w:rStyle w:val="bodycontent"/>
          <w:rFonts w:ascii="Arial" w:hAnsi="Arial" w:cs="Arial"/>
        </w:rPr>
        <w:lastRenderedPageBreak/>
        <w:t xml:space="preserve">Jelenleg a TDD módot </w:t>
      </w:r>
      <w:r w:rsidR="00A7029C">
        <w:rPr>
          <w:rStyle w:val="bodycontent"/>
          <w:rFonts w:ascii="Arial" w:hAnsi="Arial" w:cs="Arial"/>
        </w:rPr>
        <w:t xml:space="preserve">és ehhez tartozó frekvenciasávokat </w:t>
      </w:r>
      <w:r w:rsidR="00792403">
        <w:rPr>
          <w:rStyle w:val="bodycontent"/>
          <w:rFonts w:ascii="Arial" w:hAnsi="Arial" w:cs="Arial"/>
        </w:rPr>
        <w:t>11 hálózat használja kereskedelmi alkalmazásban</w:t>
      </w:r>
      <w:r w:rsidR="00A7029C">
        <w:rPr>
          <w:rStyle w:val="bodycontent"/>
          <w:rFonts w:ascii="Arial" w:hAnsi="Arial" w:cs="Arial"/>
        </w:rPr>
        <w:t xml:space="preserve"> világszerte</w:t>
      </w:r>
      <w:r w:rsidR="00792403">
        <w:rPr>
          <w:rStyle w:val="bodycontent"/>
          <w:rFonts w:ascii="Arial" w:hAnsi="Arial" w:cs="Arial"/>
        </w:rPr>
        <w:t xml:space="preserve">. </w:t>
      </w:r>
      <w:r w:rsidR="00A7029C">
        <w:rPr>
          <w:rStyle w:val="bodycontent"/>
          <w:rFonts w:ascii="Arial" w:hAnsi="Arial" w:cs="Arial"/>
        </w:rPr>
        <w:t xml:space="preserve">Az LTE TDD hálózatok száma várhatóan rohamosan fog növekedni az elkövetkező években, elsősorban a már említett spektrumhatékonyság növelése miatt. </w:t>
      </w:r>
    </w:p>
    <w:p w:rsidR="00792403" w:rsidRDefault="00C623DF" w:rsidP="00C623DF">
      <w:pPr>
        <w:pStyle w:val="NormlWeb"/>
        <w:shd w:val="clear" w:color="auto" w:fill="FFFFFF"/>
        <w:spacing w:line="360" w:lineRule="auto"/>
        <w:jc w:val="both"/>
        <w:rPr>
          <w:rStyle w:val="bodycontent"/>
          <w:rFonts w:ascii="Arial" w:hAnsi="Arial" w:cs="Arial"/>
        </w:rPr>
      </w:pPr>
      <w:r>
        <w:rPr>
          <w:rStyle w:val="bodycontent"/>
          <w:rFonts w:ascii="Arial" w:hAnsi="Arial" w:cs="Arial"/>
        </w:rPr>
        <w:t xml:space="preserve">A szignifikáns LTE TDD sávokat </w:t>
      </w:r>
      <w:r w:rsidR="0073504C">
        <w:rPr>
          <w:rStyle w:val="bodycontent"/>
          <w:rFonts w:ascii="Arial" w:hAnsi="Arial" w:cs="Arial"/>
        </w:rPr>
        <w:t xml:space="preserve">az IMT spektrum </w:t>
      </w:r>
      <w:r w:rsidR="00A7029C">
        <w:rPr>
          <w:rStyle w:val="bodycontent"/>
          <w:rFonts w:ascii="Arial" w:hAnsi="Arial" w:cs="Arial"/>
        </w:rPr>
        <w:t>foglalja magában</w:t>
      </w:r>
      <w:r w:rsidR="00725854">
        <w:rPr>
          <w:rStyle w:val="bodycontent"/>
          <w:rFonts w:ascii="Arial" w:hAnsi="Arial" w:cs="Arial"/>
        </w:rPr>
        <w:t xml:space="preserve"> a mobil alkalmazá</w:t>
      </w:r>
      <w:r w:rsidR="00AE5422">
        <w:rPr>
          <w:rStyle w:val="bodycontent"/>
          <w:rFonts w:ascii="Arial" w:hAnsi="Arial" w:cs="Arial"/>
        </w:rPr>
        <w:t>sok céljára</w:t>
      </w:r>
      <w:r w:rsidR="0073504C">
        <w:rPr>
          <w:rStyle w:val="bodycontent"/>
          <w:rFonts w:ascii="Arial" w:hAnsi="Arial" w:cs="Arial"/>
        </w:rPr>
        <w:t xml:space="preserve">. </w:t>
      </w:r>
      <w:r>
        <w:rPr>
          <w:rStyle w:val="bodycontent"/>
          <w:rFonts w:ascii="Arial" w:hAnsi="Arial" w:cs="Arial"/>
        </w:rPr>
        <w:t xml:space="preserve"> </w:t>
      </w:r>
      <w:r w:rsidR="0073504C">
        <w:rPr>
          <w:rStyle w:val="bodycontent"/>
          <w:rFonts w:ascii="Arial" w:hAnsi="Arial" w:cs="Arial"/>
        </w:rPr>
        <w:t xml:space="preserve">A legnagyobb átfogó sávszélességet biztosító sáv a 2,3GHz-es tartományban került kijelölésre, sávszélessége 100 MHz (3GPP Band 40). </w:t>
      </w:r>
      <w:r w:rsidRPr="00C623DF">
        <w:rPr>
          <w:rStyle w:val="bodycontent"/>
          <w:rFonts w:ascii="Arial" w:hAnsi="Arial" w:cs="Arial"/>
        </w:rPr>
        <w:t xml:space="preserve"> </w:t>
      </w:r>
      <w:r w:rsidR="0073504C">
        <w:rPr>
          <w:rStyle w:val="bodycontent"/>
          <w:rFonts w:ascii="Arial" w:hAnsi="Arial" w:cs="Arial"/>
        </w:rPr>
        <w:t xml:space="preserve">A CEPT által is elfogadott 2,6 </w:t>
      </w:r>
      <w:proofErr w:type="spellStart"/>
      <w:r w:rsidR="0073504C">
        <w:rPr>
          <w:rStyle w:val="bodycontent"/>
          <w:rFonts w:ascii="Arial" w:hAnsi="Arial" w:cs="Arial"/>
        </w:rPr>
        <w:t>GHz-es</w:t>
      </w:r>
      <w:proofErr w:type="spellEnd"/>
      <w:r w:rsidR="0073504C">
        <w:rPr>
          <w:rStyle w:val="bodycontent"/>
          <w:rFonts w:ascii="Arial" w:hAnsi="Arial" w:cs="Arial"/>
        </w:rPr>
        <w:t xml:space="preserve"> sáv </w:t>
      </w:r>
      <w:r w:rsidRPr="00C623DF">
        <w:rPr>
          <w:rStyle w:val="bodycontent"/>
          <w:rFonts w:ascii="Arial" w:hAnsi="Arial" w:cs="Arial"/>
        </w:rPr>
        <w:t xml:space="preserve">50 MHz </w:t>
      </w:r>
      <w:r w:rsidR="0073504C">
        <w:rPr>
          <w:rStyle w:val="bodycontent"/>
          <w:rFonts w:ascii="Arial" w:hAnsi="Arial" w:cs="Arial"/>
        </w:rPr>
        <w:t>sávszélességű</w:t>
      </w:r>
      <w:r w:rsidRPr="00C623DF">
        <w:rPr>
          <w:rStyle w:val="bodycontent"/>
          <w:rFonts w:ascii="Arial" w:hAnsi="Arial" w:cs="Arial"/>
        </w:rPr>
        <w:t xml:space="preserve"> </w:t>
      </w:r>
      <w:r w:rsidR="0073504C">
        <w:rPr>
          <w:rStyle w:val="bodycontent"/>
          <w:rFonts w:ascii="Arial" w:hAnsi="Arial" w:cs="Arial"/>
        </w:rPr>
        <w:t>(</w:t>
      </w:r>
      <w:r w:rsidRPr="00C623DF">
        <w:rPr>
          <w:rStyle w:val="bodycontent"/>
          <w:rFonts w:ascii="Arial" w:hAnsi="Arial" w:cs="Arial"/>
        </w:rPr>
        <w:t xml:space="preserve">3GPP </w:t>
      </w:r>
      <w:r w:rsidR="00725854">
        <w:rPr>
          <w:rStyle w:val="bodycontent"/>
          <w:rFonts w:ascii="Arial" w:hAnsi="Arial" w:cs="Arial"/>
        </w:rPr>
        <w:t>B</w:t>
      </w:r>
      <w:r w:rsidRPr="00C623DF">
        <w:rPr>
          <w:rStyle w:val="bodycontent"/>
          <w:rFonts w:ascii="Arial" w:hAnsi="Arial" w:cs="Arial"/>
        </w:rPr>
        <w:t xml:space="preserve">and 38). </w:t>
      </w:r>
      <w:r w:rsidR="0073504C">
        <w:rPr>
          <w:rStyle w:val="bodycontent"/>
          <w:rFonts w:ascii="Arial" w:hAnsi="Arial" w:cs="Arial"/>
        </w:rPr>
        <w:t>Ezek a csatornák kerültek felhasználásra Európában, Indiában, Kínában és Ázsia csendes óceáni régiójában (Hong Kong</w:t>
      </w:r>
      <w:r w:rsidR="00725854">
        <w:rPr>
          <w:rStyle w:val="bodycontent"/>
          <w:rFonts w:ascii="Arial" w:hAnsi="Arial" w:cs="Arial"/>
        </w:rPr>
        <w:t>)</w:t>
      </w:r>
      <w:r w:rsidR="0073504C">
        <w:rPr>
          <w:rStyle w:val="bodycontent"/>
          <w:rFonts w:ascii="Arial" w:hAnsi="Arial" w:cs="Arial"/>
        </w:rPr>
        <w:t>, valamint a Közép-keleten (</w:t>
      </w:r>
      <w:proofErr w:type="spellStart"/>
      <w:r w:rsidR="0073504C">
        <w:rPr>
          <w:rStyle w:val="bodycontent"/>
          <w:rFonts w:ascii="Arial" w:hAnsi="Arial" w:cs="Arial"/>
        </w:rPr>
        <w:t>Oman</w:t>
      </w:r>
      <w:proofErr w:type="spellEnd"/>
      <w:r w:rsidR="0073504C">
        <w:rPr>
          <w:rStyle w:val="bodycontent"/>
          <w:rFonts w:ascii="Arial" w:hAnsi="Arial" w:cs="Arial"/>
        </w:rPr>
        <w:t xml:space="preserve">, </w:t>
      </w:r>
      <w:proofErr w:type="spellStart"/>
      <w:r w:rsidR="0073504C">
        <w:rPr>
          <w:rStyle w:val="bodycontent"/>
          <w:rFonts w:ascii="Arial" w:hAnsi="Arial" w:cs="Arial"/>
        </w:rPr>
        <w:t>Szaud</w:t>
      </w:r>
      <w:proofErr w:type="spellEnd"/>
      <w:r w:rsidR="0073504C">
        <w:rPr>
          <w:rStyle w:val="bodycontent"/>
          <w:rFonts w:ascii="Arial" w:hAnsi="Arial" w:cs="Arial"/>
        </w:rPr>
        <w:t xml:space="preserve"> Arábia). </w:t>
      </w:r>
      <w:r w:rsidR="00725854">
        <w:rPr>
          <w:rStyle w:val="bodycontent"/>
          <w:rFonts w:ascii="Arial" w:hAnsi="Arial" w:cs="Arial"/>
        </w:rPr>
        <w:t xml:space="preserve">Kínában továbbá a </w:t>
      </w:r>
      <w:r w:rsidR="00725854" w:rsidRPr="00C623DF">
        <w:rPr>
          <w:rStyle w:val="bodycontent"/>
          <w:rFonts w:ascii="Arial" w:hAnsi="Arial" w:cs="Arial"/>
        </w:rPr>
        <w:t>1880-1920 MHz</w:t>
      </w:r>
      <w:r w:rsidR="00725854">
        <w:rPr>
          <w:rStyle w:val="bodycontent"/>
          <w:rFonts w:ascii="Arial" w:hAnsi="Arial" w:cs="Arial"/>
        </w:rPr>
        <w:t>-es sáv (40 MHz, B</w:t>
      </w:r>
      <w:r w:rsidR="00725854" w:rsidRPr="00C623DF">
        <w:rPr>
          <w:rStyle w:val="bodycontent"/>
          <w:rFonts w:ascii="Arial" w:hAnsi="Arial" w:cs="Arial"/>
        </w:rPr>
        <w:t>and 39</w:t>
      </w:r>
      <w:r w:rsidR="00725854">
        <w:rPr>
          <w:rStyle w:val="bodycontent"/>
          <w:rFonts w:ascii="Arial" w:hAnsi="Arial" w:cs="Arial"/>
        </w:rPr>
        <w:t>) is TDD LTE szolgáltatások számára lett kijelölve. Az USA-ban jelenleg a 2496-2690 MHz spek</w:t>
      </w:r>
      <w:r w:rsidR="00725854" w:rsidRPr="00C623DF">
        <w:rPr>
          <w:rStyle w:val="bodycontent"/>
          <w:rFonts w:ascii="Arial" w:hAnsi="Arial" w:cs="Arial"/>
        </w:rPr>
        <w:t xml:space="preserve">trum </w:t>
      </w:r>
      <w:r w:rsidR="00725854">
        <w:rPr>
          <w:rStyle w:val="bodycontent"/>
          <w:rFonts w:ascii="Arial" w:hAnsi="Arial" w:cs="Arial"/>
        </w:rPr>
        <w:t xml:space="preserve">kerül felhasználásra </w:t>
      </w:r>
      <w:r w:rsidRPr="00C623DF">
        <w:rPr>
          <w:rStyle w:val="bodycontent"/>
          <w:rFonts w:ascii="Arial" w:hAnsi="Arial" w:cs="Arial"/>
        </w:rPr>
        <w:t xml:space="preserve">LTE TDD </w:t>
      </w:r>
      <w:r w:rsidR="00725854">
        <w:rPr>
          <w:rStyle w:val="bodycontent"/>
          <w:rFonts w:ascii="Arial" w:hAnsi="Arial" w:cs="Arial"/>
        </w:rPr>
        <w:t xml:space="preserve">számára </w:t>
      </w:r>
      <w:r w:rsidRPr="00C623DF">
        <w:rPr>
          <w:rStyle w:val="bodycontent"/>
          <w:rFonts w:ascii="Arial" w:hAnsi="Arial" w:cs="Arial"/>
        </w:rPr>
        <w:t>(</w:t>
      </w:r>
      <w:r w:rsidR="00A7029C">
        <w:rPr>
          <w:rStyle w:val="bodycontent"/>
          <w:rFonts w:ascii="Arial" w:hAnsi="Arial" w:cs="Arial"/>
        </w:rPr>
        <w:t>194 MHz, B</w:t>
      </w:r>
      <w:r w:rsidRPr="00C623DF">
        <w:rPr>
          <w:rStyle w:val="bodycontent"/>
          <w:rFonts w:ascii="Arial" w:hAnsi="Arial" w:cs="Arial"/>
        </w:rPr>
        <w:t>and 41)</w:t>
      </w:r>
      <w:r w:rsidR="00A7029C">
        <w:rPr>
          <w:rStyle w:val="bodycontent"/>
          <w:rFonts w:ascii="Arial" w:hAnsi="Arial" w:cs="Arial"/>
        </w:rPr>
        <w:t xml:space="preserve">, de a hatóságok tervezik egy 100 MHz sávszélességű sáv kijelölését is a 3,5/3,6 </w:t>
      </w:r>
      <w:proofErr w:type="spellStart"/>
      <w:r w:rsidR="00A7029C">
        <w:rPr>
          <w:rStyle w:val="bodycontent"/>
          <w:rFonts w:ascii="Arial" w:hAnsi="Arial" w:cs="Arial"/>
        </w:rPr>
        <w:t>GHz-es</w:t>
      </w:r>
      <w:proofErr w:type="spellEnd"/>
      <w:r w:rsidR="00A7029C">
        <w:rPr>
          <w:rStyle w:val="bodycontent"/>
          <w:rFonts w:ascii="Arial" w:hAnsi="Arial" w:cs="Arial"/>
        </w:rPr>
        <w:t xml:space="preserve"> tartományba. Az egyik operátor az Egyesült Királyságban egy </w:t>
      </w:r>
      <w:r w:rsidRPr="00C623DF">
        <w:rPr>
          <w:rStyle w:val="bodycontent"/>
          <w:rFonts w:ascii="Arial" w:hAnsi="Arial" w:cs="Arial"/>
        </w:rPr>
        <w:t>124 MHz</w:t>
      </w:r>
      <w:r w:rsidR="00A7029C">
        <w:rPr>
          <w:rStyle w:val="bodycontent"/>
          <w:rFonts w:ascii="Arial" w:hAnsi="Arial" w:cs="Arial"/>
        </w:rPr>
        <w:t xml:space="preserve">-es </w:t>
      </w:r>
      <w:proofErr w:type="gramStart"/>
      <w:r w:rsidR="00A7029C">
        <w:rPr>
          <w:rStyle w:val="bodycontent"/>
          <w:rFonts w:ascii="Arial" w:hAnsi="Arial" w:cs="Arial"/>
        </w:rPr>
        <w:t xml:space="preserve">sáv </w:t>
      </w:r>
      <w:r w:rsidRPr="00C623DF">
        <w:rPr>
          <w:rStyle w:val="bodycontent"/>
          <w:rFonts w:ascii="Arial" w:hAnsi="Arial" w:cs="Arial"/>
        </w:rPr>
        <w:t xml:space="preserve"> </w:t>
      </w:r>
      <w:r w:rsidR="00A7029C">
        <w:rPr>
          <w:rStyle w:val="bodycontent"/>
          <w:rFonts w:ascii="Arial" w:hAnsi="Arial" w:cs="Arial"/>
        </w:rPr>
        <w:t>alkalmazását</w:t>
      </w:r>
      <w:proofErr w:type="gramEnd"/>
      <w:r w:rsidR="00A7029C">
        <w:rPr>
          <w:rStyle w:val="bodycontent"/>
          <w:rFonts w:ascii="Arial" w:hAnsi="Arial" w:cs="Arial"/>
        </w:rPr>
        <w:t xml:space="preserve"> tervezi a</w:t>
      </w:r>
      <w:r w:rsidRPr="00C623DF">
        <w:rPr>
          <w:rStyle w:val="bodycontent"/>
          <w:rFonts w:ascii="Arial" w:hAnsi="Arial" w:cs="Arial"/>
        </w:rPr>
        <w:t xml:space="preserve"> 3.5/3</w:t>
      </w:r>
      <w:r w:rsidR="00A7029C">
        <w:rPr>
          <w:rStyle w:val="bodycontent"/>
          <w:rFonts w:ascii="Arial" w:hAnsi="Arial" w:cs="Arial"/>
        </w:rPr>
        <w:t xml:space="preserve">.6 </w:t>
      </w:r>
      <w:proofErr w:type="spellStart"/>
      <w:r w:rsidR="00A7029C">
        <w:rPr>
          <w:rStyle w:val="bodycontent"/>
          <w:rFonts w:ascii="Arial" w:hAnsi="Arial" w:cs="Arial"/>
        </w:rPr>
        <w:t>GHz-es</w:t>
      </w:r>
      <w:proofErr w:type="spellEnd"/>
      <w:r w:rsidR="00A7029C">
        <w:rPr>
          <w:rStyle w:val="bodycontent"/>
          <w:rFonts w:ascii="Arial" w:hAnsi="Arial" w:cs="Arial"/>
        </w:rPr>
        <w:t xml:space="preserve"> sávban</w:t>
      </w:r>
      <w:r w:rsidRPr="00C623DF">
        <w:rPr>
          <w:rStyle w:val="bodycontent"/>
          <w:rFonts w:ascii="Arial" w:hAnsi="Arial" w:cs="Arial"/>
        </w:rPr>
        <w:t xml:space="preserve">. </w:t>
      </w:r>
    </w:p>
    <w:p w:rsidR="00D17E41" w:rsidRPr="00943601" w:rsidRDefault="00943601" w:rsidP="0013635D">
      <w:pPr>
        <w:pStyle w:val="NormlWeb"/>
        <w:numPr>
          <w:ilvl w:val="0"/>
          <w:numId w:val="4"/>
        </w:numPr>
        <w:shd w:val="clear" w:color="auto" w:fill="FFFFFF"/>
        <w:spacing w:before="0" w:beforeAutospacing="0" w:after="0" w:afterAutospacing="0" w:line="360" w:lineRule="auto"/>
        <w:jc w:val="both"/>
        <w:rPr>
          <w:rFonts w:ascii="Arial" w:hAnsi="Arial" w:cs="Arial"/>
          <w:b/>
        </w:rPr>
      </w:pPr>
      <w:r w:rsidRPr="00943601">
        <w:rPr>
          <w:rFonts w:ascii="Arial" w:hAnsi="Arial" w:cs="Arial"/>
          <w:b/>
        </w:rPr>
        <w:t>Négy szcenárió az FDD és TDD együttes alkalmazására</w:t>
      </w:r>
    </w:p>
    <w:p w:rsidR="00943601" w:rsidRDefault="009D5571" w:rsidP="00D17E41">
      <w:pPr>
        <w:pStyle w:val="NormlWeb"/>
        <w:shd w:val="clear" w:color="auto" w:fill="FFFFFF"/>
        <w:spacing w:before="0" w:beforeAutospacing="0" w:after="0" w:afterAutospacing="0" w:line="360" w:lineRule="auto"/>
        <w:jc w:val="both"/>
        <w:rPr>
          <w:rFonts w:ascii="Arial" w:hAnsi="Arial" w:cs="Arial"/>
        </w:rPr>
      </w:pPr>
      <w:r>
        <w:rPr>
          <w:rFonts w:ascii="Arial" w:hAnsi="Arial" w:cs="Arial"/>
        </w:rPr>
        <w:t>Jelenleg a</w:t>
      </w:r>
      <w:r w:rsidR="00943601">
        <w:rPr>
          <w:rFonts w:ascii="Arial" w:hAnsi="Arial" w:cs="Arial"/>
        </w:rPr>
        <w:t xml:space="preserve">z operátorok a két </w:t>
      </w:r>
      <w:proofErr w:type="spellStart"/>
      <w:r w:rsidR="00943601">
        <w:rPr>
          <w:rFonts w:ascii="Arial" w:hAnsi="Arial" w:cs="Arial"/>
        </w:rPr>
        <w:t>duplexelési</w:t>
      </w:r>
      <w:proofErr w:type="spellEnd"/>
      <w:r w:rsidR="00943601">
        <w:rPr>
          <w:rFonts w:ascii="Arial" w:hAnsi="Arial" w:cs="Arial"/>
        </w:rPr>
        <w:t xml:space="preserve"> technika </w:t>
      </w:r>
      <w:r>
        <w:rPr>
          <w:rFonts w:ascii="Arial" w:hAnsi="Arial" w:cs="Arial"/>
        </w:rPr>
        <w:t xml:space="preserve">együttes </w:t>
      </w:r>
      <w:r w:rsidR="00943601">
        <w:rPr>
          <w:rFonts w:ascii="Arial" w:hAnsi="Arial" w:cs="Arial"/>
        </w:rPr>
        <w:t>alkalmazását négy megoldásban használhatják/használják.</w:t>
      </w:r>
    </w:p>
    <w:p w:rsidR="00943601" w:rsidRDefault="00943601" w:rsidP="00D17E41">
      <w:pPr>
        <w:pStyle w:val="NormlWeb"/>
        <w:shd w:val="clear" w:color="auto" w:fill="FFFFFF"/>
        <w:spacing w:before="0" w:beforeAutospacing="0" w:after="0" w:afterAutospacing="0" w:line="360" w:lineRule="auto"/>
        <w:jc w:val="both"/>
        <w:rPr>
          <w:rFonts w:ascii="Arial" w:hAnsi="Arial" w:cs="Arial"/>
        </w:rPr>
      </w:pPr>
    </w:p>
    <w:p w:rsidR="00943601" w:rsidRDefault="00943601" w:rsidP="00943601">
      <w:pPr>
        <w:pStyle w:val="NormlWeb"/>
        <w:numPr>
          <w:ilvl w:val="0"/>
          <w:numId w:val="1"/>
        </w:numPr>
        <w:shd w:val="clear" w:color="auto" w:fill="FFFFFF"/>
        <w:spacing w:before="0" w:beforeAutospacing="0" w:after="0" w:afterAutospacing="0" w:line="360" w:lineRule="auto"/>
        <w:jc w:val="both"/>
        <w:rPr>
          <w:rFonts w:ascii="Arial" w:hAnsi="Arial" w:cs="Arial"/>
        </w:rPr>
      </w:pPr>
      <w:r>
        <w:rPr>
          <w:rFonts w:ascii="Arial" w:hAnsi="Arial" w:cs="Arial"/>
        </w:rPr>
        <w:t>Szcenárió</w:t>
      </w:r>
    </w:p>
    <w:p w:rsidR="00943601" w:rsidRPr="0013635D" w:rsidRDefault="00943601" w:rsidP="00943601">
      <w:pPr>
        <w:pStyle w:val="NormlWeb"/>
        <w:shd w:val="clear" w:color="auto" w:fill="FFFFFF"/>
        <w:spacing w:before="0" w:beforeAutospacing="0" w:after="0" w:afterAutospacing="0" w:line="360" w:lineRule="auto"/>
        <w:ind w:left="720"/>
        <w:rPr>
          <w:rFonts w:ascii="Arial" w:hAnsi="Arial" w:cs="Arial"/>
          <w:u w:val="single"/>
        </w:rPr>
      </w:pPr>
      <w:proofErr w:type="spellStart"/>
      <w:r w:rsidRPr="0013635D">
        <w:rPr>
          <w:rFonts w:ascii="Arial" w:hAnsi="Arial" w:cs="Arial"/>
          <w:u w:val="single"/>
        </w:rPr>
        <w:t>Macrocellás</w:t>
      </w:r>
      <w:proofErr w:type="spellEnd"/>
      <w:r w:rsidRPr="0013635D">
        <w:rPr>
          <w:rFonts w:ascii="Arial" w:hAnsi="Arial" w:cs="Arial"/>
          <w:u w:val="single"/>
        </w:rPr>
        <w:t xml:space="preserve"> hálózatok: </w:t>
      </w:r>
    </w:p>
    <w:p w:rsidR="00943601" w:rsidRDefault="00336BA5" w:rsidP="009D5571">
      <w:pPr>
        <w:pStyle w:val="NormlWeb"/>
        <w:shd w:val="clear" w:color="auto" w:fill="FFFFFF"/>
        <w:spacing w:before="0" w:beforeAutospacing="0" w:after="0" w:afterAutospacing="0" w:line="360" w:lineRule="auto"/>
        <w:ind w:left="720"/>
        <w:jc w:val="both"/>
        <w:rPr>
          <w:rFonts w:ascii="Arial" w:hAnsi="Arial" w:cs="Arial"/>
        </w:rPr>
      </w:pPr>
      <w:r>
        <w:rPr>
          <w:rFonts w:ascii="Arial" w:hAnsi="Arial" w:cs="Arial"/>
        </w:rPr>
        <w:t>A</w:t>
      </w:r>
      <w:r w:rsidR="00943601">
        <w:rPr>
          <w:rFonts w:ascii="Arial" w:hAnsi="Arial" w:cs="Arial"/>
        </w:rPr>
        <w:t>z LTE</w:t>
      </w:r>
      <w:r w:rsidR="009D5571">
        <w:rPr>
          <w:rFonts w:ascii="Arial" w:hAnsi="Arial" w:cs="Arial"/>
        </w:rPr>
        <w:t xml:space="preserve"> TDD </w:t>
      </w:r>
      <w:proofErr w:type="spellStart"/>
      <w:r w:rsidR="009D5571">
        <w:rPr>
          <w:rFonts w:ascii="Arial" w:hAnsi="Arial" w:cs="Arial"/>
        </w:rPr>
        <w:t>macrocellás</w:t>
      </w:r>
      <w:proofErr w:type="spellEnd"/>
      <w:r w:rsidR="009D5571">
        <w:rPr>
          <w:rFonts w:ascii="Arial" w:hAnsi="Arial" w:cs="Arial"/>
        </w:rPr>
        <w:t xml:space="preserve"> bázisállomásai</w:t>
      </w:r>
      <w:r w:rsidR="00943601">
        <w:rPr>
          <w:rFonts w:ascii="Arial" w:hAnsi="Arial" w:cs="Arial"/>
        </w:rPr>
        <w:t xml:space="preserve"> </w:t>
      </w:r>
      <w:proofErr w:type="spellStart"/>
      <w:r w:rsidR="00943601">
        <w:rPr>
          <w:rFonts w:ascii="Arial" w:hAnsi="Arial" w:cs="Arial"/>
        </w:rPr>
        <w:t>kültéren</w:t>
      </w:r>
      <w:proofErr w:type="spellEnd"/>
      <w:r w:rsidR="00943601">
        <w:rPr>
          <w:rFonts w:ascii="Arial" w:hAnsi="Arial" w:cs="Arial"/>
        </w:rPr>
        <w:t xml:space="preserve"> a 2,6 </w:t>
      </w:r>
      <w:proofErr w:type="spellStart"/>
      <w:r w:rsidR="00943601">
        <w:rPr>
          <w:rFonts w:ascii="Arial" w:hAnsi="Arial" w:cs="Arial"/>
        </w:rPr>
        <w:t>GHz-es</w:t>
      </w:r>
      <w:proofErr w:type="spellEnd"/>
      <w:r w:rsidR="00943601">
        <w:rPr>
          <w:rFonts w:ascii="Arial" w:hAnsi="Arial" w:cs="Arial"/>
        </w:rPr>
        <w:t xml:space="preserve"> sávban</w:t>
      </w:r>
      <w:r>
        <w:rPr>
          <w:rFonts w:ascii="Arial" w:hAnsi="Arial" w:cs="Arial"/>
        </w:rPr>
        <w:t xml:space="preserve">, </w:t>
      </w:r>
      <w:proofErr w:type="spellStart"/>
      <w:r>
        <w:rPr>
          <w:rFonts w:ascii="Arial" w:hAnsi="Arial" w:cs="Arial"/>
        </w:rPr>
        <w:t>beltéren</w:t>
      </w:r>
      <w:proofErr w:type="spellEnd"/>
      <w:r w:rsidR="00943601">
        <w:rPr>
          <w:rFonts w:ascii="Arial" w:hAnsi="Arial" w:cs="Arial"/>
        </w:rPr>
        <w:t xml:space="preserve"> </w:t>
      </w:r>
      <w:r>
        <w:rPr>
          <w:rFonts w:ascii="Arial" w:hAnsi="Arial" w:cs="Arial"/>
        </w:rPr>
        <w:t xml:space="preserve">pedig </w:t>
      </w:r>
      <w:r w:rsidR="00943601">
        <w:rPr>
          <w:rFonts w:ascii="Arial" w:hAnsi="Arial" w:cs="Arial"/>
        </w:rPr>
        <w:t xml:space="preserve">a 2,3 </w:t>
      </w:r>
      <w:proofErr w:type="spellStart"/>
      <w:r w:rsidR="00943601">
        <w:rPr>
          <w:rFonts w:ascii="Arial" w:hAnsi="Arial" w:cs="Arial"/>
        </w:rPr>
        <w:t>GHz-es</w:t>
      </w:r>
      <w:proofErr w:type="spellEnd"/>
      <w:r w:rsidR="00943601">
        <w:rPr>
          <w:rFonts w:ascii="Arial" w:hAnsi="Arial" w:cs="Arial"/>
        </w:rPr>
        <w:t xml:space="preserve"> sávban</w:t>
      </w:r>
      <w:r>
        <w:rPr>
          <w:rFonts w:ascii="Arial" w:hAnsi="Arial" w:cs="Arial"/>
        </w:rPr>
        <w:t xml:space="preserve"> működnek (</w:t>
      </w:r>
      <w:proofErr w:type="spellStart"/>
      <w:r>
        <w:rPr>
          <w:rFonts w:ascii="Arial" w:hAnsi="Arial" w:cs="Arial"/>
        </w:rPr>
        <w:t>China</w:t>
      </w:r>
      <w:proofErr w:type="spellEnd"/>
      <w:r>
        <w:rPr>
          <w:rFonts w:ascii="Arial" w:hAnsi="Arial" w:cs="Arial"/>
        </w:rPr>
        <w:t xml:space="preserve"> Mobil)</w:t>
      </w:r>
      <w:r w:rsidR="009D5571">
        <w:rPr>
          <w:rFonts w:ascii="Arial" w:hAnsi="Arial" w:cs="Arial"/>
        </w:rPr>
        <w:t>.</w:t>
      </w:r>
    </w:p>
    <w:p w:rsidR="00336BA5" w:rsidRDefault="00336BA5" w:rsidP="00943601">
      <w:pPr>
        <w:pStyle w:val="NormlWeb"/>
        <w:shd w:val="clear" w:color="auto" w:fill="FFFFFF"/>
        <w:spacing w:before="0" w:beforeAutospacing="0" w:after="0" w:afterAutospacing="0" w:line="360" w:lineRule="auto"/>
        <w:ind w:left="720"/>
        <w:rPr>
          <w:rFonts w:ascii="Arial" w:hAnsi="Arial" w:cs="Arial"/>
        </w:rPr>
      </w:pPr>
    </w:p>
    <w:p w:rsidR="0013635D" w:rsidRDefault="0013635D" w:rsidP="00943601">
      <w:pPr>
        <w:pStyle w:val="NormlWeb"/>
        <w:shd w:val="clear" w:color="auto" w:fill="FFFFFF"/>
        <w:spacing w:before="0" w:beforeAutospacing="0" w:after="0" w:afterAutospacing="0" w:line="360" w:lineRule="auto"/>
        <w:ind w:left="720"/>
        <w:rPr>
          <w:rFonts w:ascii="Arial" w:hAnsi="Arial" w:cs="Arial"/>
        </w:rPr>
      </w:pPr>
    </w:p>
    <w:p w:rsidR="00336BA5" w:rsidRDefault="00336BA5" w:rsidP="00336BA5">
      <w:pPr>
        <w:pStyle w:val="NormlWeb"/>
        <w:numPr>
          <w:ilvl w:val="0"/>
          <w:numId w:val="1"/>
        </w:numPr>
        <w:shd w:val="clear" w:color="auto" w:fill="FFFFFF"/>
        <w:spacing w:before="0" w:beforeAutospacing="0" w:after="0" w:afterAutospacing="0" w:line="360" w:lineRule="auto"/>
        <w:rPr>
          <w:rFonts w:ascii="Arial" w:hAnsi="Arial" w:cs="Arial"/>
        </w:rPr>
      </w:pPr>
      <w:r>
        <w:rPr>
          <w:rFonts w:ascii="Arial" w:hAnsi="Arial" w:cs="Arial"/>
        </w:rPr>
        <w:t>Szcenárió</w:t>
      </w:r>
    </w:p>
    <w:p w:rsidR="00336BA5" w:rsidRPr="0013635D" w:rsidRDefault="00336BA5" w:rsidP="00336BA5">
      <w:pPr>
        <w:pStyle w:val="NormlWeb"/>
        <w:shd w:val="clear" w:color="auto" w:fill="FFFFFF"/>
        <w:spacing w:before="0" w:beforeAutospacing="0" w:after="0" w:afterAutospacing="0" w:line="360" w:lineRule="auto"/>
        <w:ind w:left="720"/>
        <w:rPr>
          <w:rFonts w:ascii="Arial" w:hAnsi="Arial" w:cs="Arial"/>
          <w:u w:val="single"/>
        </w:rPr>
      </w:pPr>
      <w:r w:rsidRPr="0013635D">
        <w:rPr>
          <w:rFonts w:ascii="Arial" w:hAnsi="Arial" w:cs="Arial"/>
          <w:u w:val="single"/>
        </w:rPr>
        <w:t>Hibrid hálózatok:</w:t>
      </w:r>
    </w:p>
    <w:p w:rsidR="00943601" w:rsidRDefault="009D5571" w:rsidP="00336BA5">
      <w:pPr>
        <w:pStyle w:val="NormlWeb"/>
        <w:shd w:val="clear" w:color="auto" w:fill="FFFFFF"/>
        <w:spacing w:before="0" w:beforeAutospacing="0" w:after="0" w:afterAutospacing="0" w:line="360" w:lineRule="auto"/>
        <w:ind w:left="720"/>
        <w:jc w:val="both"/>
        <w:rPr>
          <w:rFonts w:ascii="Arial" w:hAnsi="Arial" w:cs="Arial"/>
        </w:rPr>
      </w:pPr>
      <w:r>
        <w:rPr>
          <w:rFonts w:ascii="Arial" w:hAnsi="Arial" w:cs="Arial"/>
        </w:rPr>
        <w:t>A</w:t>
      </w:r>
      <w:r w:rsidR="00336BA5">
        <w:rPr>
          <w:rFonts w:ascii="Arial" w:hAnsi="Arial" w:cs="Arial"/>
        </w:rPr>
        <w:t xml:space="preserve"> </w:t>
      </w:r>
      <w:proofErr w:type="spellStart"/>
      <w:r w:rsidR="00336BA5">
        <w:rPr>
          <w:rFonts w:ascii="Arial" w:hAnsi="Arial" w:cs="Arial"/>
        </w:rPr>
        <w:t>macrocellás</w:t>
      </w:r>
      <w:proofErr w:type="spellEnd"/>
      <w:r w:rsidR="00336BA5">
        <w:rPr>
          <w:rFonts w:ascii="Arial" w:hAnsi="Arial" w:cs="Arial"/>
        </w:rPr>
        <w:t xml:space="preserve"> lefedést LTE FDD bázisállomások biztosítják a vidéki és a városszéli területeken, azonban a sűrűn lakott városi környezetet LTE TDD állomás</w:t>
      </w:r>
      <w:r>
        <w:rPr>
          <w:rFonts w:ascii="Arial" w:hAnsi="Arial" w:cs="Arial"/>
        </w:rPr>
        <w:t>ok fedik le</w:t>
      </w:r>
      <w:r w:rsidR="00336BA5">
        <w:rPr>
          <w:rFonts w:ascii="Arial" w:hAnsi="Arial" w:cs="Arial"/>
        </w:rPr>
        <w:t xml:space="preserve"> </w:t>
      </w:r>
      <w:r>
        <w:rPr>
          <w:rFonts w:ascii="Arial" w:hAnsi="Arial" w:cs="Arial"/>
        </w:rPr>
        <w:t>ott,</w:t>
      </w:r>
      <w:r w:rsidR="00336BA5">
        <w:rPr>
          <w:rFonts w:ascii="Arial" w:hAnsi="Arial" w:cs="Arial"/>
        </w:rPr>
        <w:t xml:space="preserve"> ahol nagy az előfizetői forgalom sűrűsége</w:t>
      </w:r>
      <w:r>
        <w:rPr>
          <w:rFonts w:ascii="Arial" w:hAnsi="Arial" w:cs="Arial"/>
        </w:rPr>
        <w:t xml:space="preserve"> </w:t>
      </w:r>
      <w:r>
        <w:rPr>
          <w:rFonts w:ascii="Arial" w:hAnsi="Arial" w:cs="Arial"/>
        </w:rPr>
        <w:lastRenderedPageBreak/>
        <w:t>(Németország)</w:t>
      </w:r>
      <w:r w:rsidR="00336BA5">
        <w:rPr>
          <w:rFonts w:ascii="Arial" w:hAnsi="Arial" w:cs="Arial"/>
        </w:rPr>
        <w:t xml:space="preserve">. </w:t>
      </w:r>
      <w:r>
        <w:rPr>
          <w:rFonts w:ascii="Arial" w:hAnsi="Arial" w:cs="Arial"/>
        </w:rPr>
        <w:t xml:space="preserve"> Néhány szolgáltató </w:t>
      </w:r>
      <w:proofErr w:type="spellStart"/>
      <w:r>
        <w:rPr>
          <w:rFonts w:ascii="Arial" w:hAnsi="Arial" w:cs="Arial"/>
        </w:rPr>
        <w:t>multimódú</w:t>
      </w:r>
      <w:proofErr w:type="spellEnd"/>
      <w:r>
        <w:rPr>
          <w:rFonts w:ascii="Arial" w:hAnsi="Arial" w:cs="Arial"/>
        </w:rPr>
        <w:t xml:space="preserve"> alkalmazásban párhuzamosan alkalmazza a HSPA+ és LTE TDD rendszereket a 2,3 </w:t>
      </w:r>
      <w:proofErr w:type="spellStart"/>
      <w:r>
        <w:rPr>
          <w:rFonts w:ascii="Arial" w:hAnsi="Arial" w:cs="Arial"/>
        </w:rPr>
        <w:t>GHz-es</w:t>
      </w:r>
      <w:proofErr w:type="spellEnd"/>
      <w:r>
        <w:rPr>
          <w:rFonts w:ascii="Arial" w:hAnsi="Arial" w:cs="Arial"/>
        </w:rPr>
        <w:t xml:space="preserve"> sávban (India). </w:t>
      </w:r>
    </w:p>
    <w:p w:rsidR="009D5571" w:rsidRDefault="009D5571" w:rsidP="00336BA5">
      <w:pPr>
        <w:pStyle w:val="NormlWeb"/>
        <w:shd w:val="clear" w:color="auto" w:fill="FFFFFF"/>
        <w:spacing w:before="0" w:beforeAutospacing="0" w:after="0" w:afterAutospacing="0" w:line="360" w:lineRule="auto"/>
        <w:ind w:left="720"/>
        <w:jc w:val="both"/>
        <w:rPr>
          <w:rFonts w:ascii="Arial" w:hAnsi="Arial" w:cs="Arial"/>
        </w:rPr>
      </w:pPr>
    </w:p>
    <w:p w:rsidR="009D5571" w:rsidRDefault="009D5571" w:rsidP="009D5571">
      <w:pPr>
        <w:pStyle w:val="NormlWeb"/>
        <w:numPr>
          <w:ilvl w:val="0"/>
          <w:numId w:val="1"/>
        </w:numPr>
        <w:shd w:val="clear" w:color="auto" w:fill="FFFFFF"/>
        <w:spacing w:before="0" w:beforeAutospacing="0" w:after="0" w:afterAutospacing="0" w:line="360" w:lineRule="auto"/>
        <w:jc w:val="both"/>
        <w:rPr>
          <w:rFonts w:ascii="Arial" w:hAnsi="Arial" w:cs="Arial"/>
        </w:rPr>
      </w:pPr>
      <w:r>
        <w:rPr>
          <w:rFonts w:ascii="Arial" w:hAnsi="Arial" w:cs="Arial"/>
        </w:rPr>
        <w:t>Szcenárió</w:t>
      </w:r>
    </w:p>
    <w:p w:rsidR="009D5571" w:rsidRPr="0013635D" w:rsidRDefault="009D5571" w:rsidP="009D5571">
      <w:pPr>
        <w:pStyle w:val="NormlWeb"/>
        <w:shd w:val="clear" w:color="auto" w:fill="FFFFFF"/>
        <w:spacing w:before="0" w:beforeAutospacing="0" w:after="0" w:afterAutospacing="0" w:line="360" w:lineRule="auto"/>
        <w:ind w:left="720"/>
        <w:rPr>
          <w:rFonts w:ascii="Arial" w:hAnsi="Arial" w:cs="Arial"/>
          <w:u w:val="single"/>
        </w:rPr>
      </w:pPr>
      <w:r w:rsidRPr="0013635D">
        <w:rPr>
          <w:rFonts w:ascii="Arial" w:hAnsi="Arial" w:cs="Arial"/>
          <w:u w:val="single"/>
        </w:rPr>
        <w:t xml:space="preserve">LTE TDD </w:t>
      </w:r>
      <w:proofErr w:type="spellStart"/>
      <w:proofErr w:type="gramStart"/>
      <w:r w:rsidRPr="0013635D">
        <w:rPr>
          <w:rFonts w:ascii="Arial" w:hAnsi="Arial" w:cs="Arial"/>
          <w:u w:val="single"/>
        </w:rPr>
        <w:t>pico</w:t>
      </w:r>
      <w:r w:rsidR="0013635D" w:rsidRPr="0013635D">
        <w:rPr>
          <w:rFonts w:ascii="Arial" w:hAnsi="Arial" w:cs="Arial"/>
          <w:u w:val="single"/>
        </w:rPr>
        <w:t>-</w:t>
      </w:r>
      <w:proofErr w:type="spellEnd"/>
      <w:r w:rsidR="0013635D" w:rsidRPr="0013635D">
        <w:rPr>
          <w:rFonts w:ascii="Arial" w:hAnsi="Arial" w:cs="Arial"/>
          <w:u w:val="single"/>
        </w:rPr>
        <w:t xml:space="preserve"> </w:t>
      </w:r>
      <w:r w:rsidRPr="0013635D">
        <w:rPr>
          <w:rFonts w:ascii="Arial" w:hAnsi="Arial" w:cs="Arial"/>
          <w:u w:val="single"/>
        </w:rPr>
        <w:t xml:space="preserve"> és</w:t>
      </w:r>
      <w:proofErr w:type="gramEnd"/>
      <w:r w:rsidRPr="0013635D">
        <w:rPr>
          <w:rFonts w:ascii="Arial" w:hAnsi="Arial" w:cs="Arial"/>
          <w:u w:val="single"/>
        </w:rPr>
        <w:t xml:space="preserve"> </w:t>
      </w:r>
      <w:proofErr w:type="spellStart"/>
      <w:r w:rsidRPr="0013635D">
        <w:rPr>
          <w:rFonts w:ascii="Arial" w:hAnsi="Arial" w:cs="Arial"/>
          <w:u w:val="single"/>
        </w:rPr>
        <w:t>femtocella</w:t>
      </w:r>
      <w:proofErr w:type="spellEnd"/>
      <w:r w:rsidRPr="0013635D">
        <w:rPr>
          <w:rFonts w:ascii="Arial" w:hAnsi="Arial" w:cs="Arial"/>
          <w:u w:val="single"/>
        </w:rPr>
        <w:t>:</w:t>
      </w:r>
    </w:p>
    <w:p w:rsidR="009D5571" w:rsidRDefault="009D5571" w:rsidP="00336BA5">
      <w:pPr>
        <w:pStyle w:val="NormlWeb"/>
        <w:shd w:val="clear" w:color="auto" w:fill="FFFFFF"/>
        <w:spacing w:before="0" w:beforeAutospacing="0" w:after="0" w:afterAutospacing="0" w:line="360" w:lineRule="auto"/>
        <w:ind w:left="720"/>
        <w:jc w:val="both"/>
        <w:rPr>
          <w:rFonts w:ascii="Arial" w:hAnsi="Arial" w:cs="Arial"/>
        </w:rPr>
      </w:pPr>
      <w:r>
        <w:rPr>
          <w:rFonts w:ascii="Arial" w:hAnsi="Arial" w:cs="Arial"/>
        </w:rPr>
        <w:t>Költséghatékonyság szempontjá</w:t>
      </w:r>
      <w:r w:rsidR="00CA266D">
        <w:rPr>
          <w:rFonts w:ascii="Arial" w:hAnsi="Arial" w:cs="Arial"/>
        </w:rPr>
        <w:t xml:space="preserve">ból a legelőnyösebb alkalmazás a nagy forgalmú városi területeken, ahol az egy négyzetkilométerre eső forgalom kiszolgálása a cél. A TDD alkalmazása ilyen esetben elsősorban a forgalmi kapacitás növelése </w:t>
      </w:r>
      <w:r w:rsidR="00AE5422">
        <w:rPr>
          <w:rFonts w:ascii="Arial" w:hAnsi="Arial" w:cs="Arial"/>
        </w:rPr>
        <w:t>az elsődleges cél</w:t>
      </w:r>
      <w:r w:rsidR="00CA266D">
        <w:rPr>
          <w:rFonts w:ascii="Arial" w:hAnsi="Arial" w:cs="Arial"/>
        </w:rPr>
        <w:t xml:space="preserve"> a mikro- és </w:t>
      </w:r>
      <w:proofErr w:type="spellStart"/>
      <w:r w:rsidR="00CA266D">
        <w:rPr>
          <w:rFonts w:ascii="Arial" w:hAnsi="Arial" w:cs="Arial"/>
        </w:rPr>
        <w:t>picocellás</w:t>
      </w:r>
      <w:proofErr w:type="spellEnd"/>
      <w:r w:rsidR="00CA266D">
        <w:rPr>
          <w:rFonts w:ascii="Arial" w:hAnsi="Arial" w:cs="Arial"/>
        </w:rPr>
        <w:t xml:space="preserve"> lefedettségnél. Továbbá a </w:t>
      </w:r>
      <w:proofErr w:type="spellStart"/>
      <w:r w:rsidR="00CA266D">
        <w:rPr>
          <w:rFonts w:ascii="Arial" w:hAnsi="Arial" w:cs="Arial"/>
        </w:rPr>
        <w:t>pico-</w:t>
      </w:r>
      <w:proofErr w:type="spellEnd"/>
      <w:r w:rsidR="00CA266D">
        <w:rPr>
          <w:rFonts w:ascii="Arial" w:hAnsi="Arial" w:cs="Arial"/>
        </w:rPr>
        <w:t xml:space="preserve"> és </w:t>
      </w:r>
      <w:proofErr w:type="spellStart"/>
      <w:r w:rsidR="00CA266D">
        <w:rPr>
          <w:rFonts w:ascii="Arial" w:hAnsi="Arial" w:cs="Arial"/>
        </w:rPr>
        <w:t>femtocellákban</w:t>
      </w:r>
      <w:proofErr w:type="spellEnd"/>
      <w:r w:rsidR="00CA266D">
        <w:rPr>
          <w:rFonts w:ascii="Arial" w:hAnsi="Arial" w:cs="Arial"/>
        </w:rPr>
        <w:t xml:space="preserve"> alkalmazott TDD megoldás jelentősen növeli a cella áteresztő képességét az </w:t>
      </w:r>
      <w:proofErr w:type="spellStart"/>
      <w:r w:rsidR="00CA266D">
        <w:rPr>
          <w:rFonts w:ascii="Arial" w:hAnsi="Arial" w:cs="Arial"/>
        </w:rPr>
        <w:t>FDD-hez</w:t>
      </w:r>
      <w:proofErr w:type="spellEnd"/>
      <w:r w:rsidR="00CA266D">
        <w:rPr>
          <w:rFonts w:ascii="Arial" w:hAnsi="Arial" w:cs="Arial"/>
        </w:rPr>
        <w:t xml:space="preserve"> képest.</w:t>
      </w:r>
    </w:p>
    <w:p w:rsidR="00CA266D" w:rsidRDefault="00CA266D" w:rsidP="00336BA5">
      <w:pPr>
        <w:pStyle w:val="NormlWeb"/>
        <w:shd w:val="clear" w:color="auto" w:fill="FFFFFF"/>
        <w:spacing w:before="0" w:beforeAutospacing="0" w:after="0" w:afterAutospacing="0" w:line="360" w:lineRule="auto"/>
        <w:ind w:left="720"/>
        <w:jc w:val="both"/>
        <w:rPr>
          <w:rFonts w:ascii="Arial" w:hAnsi="Arial" w:cs="Arial"/>
        </w:rPr>
      </w:pPr>
    </w:p>
    <w:p w:rsidR="00CA266D" w:rsidRDefault="00CA266D" w:rsidP="00CA266D">
      <w:pPr>
        <w:pStyle w:val="NormlWeb"/>
        <w:numPr>
          <w:ilvl w:val="0"/>
          <w:numId w:val="1"/>
        </w:numPr>
        <w:shd w:val="clear" w:color="auto" w:fill="FFFFFF"/>
        <w:spacing w:before="0" w:beforeAutospacing="0" w:after="0" w:afterAutospacing="0" w:line="360" w:lineRule="auto"/>
        <w:jc w:val="both"/>
        <w:rPr>
          <w:rFonts w:ascii="Arial" w:hAnsi="Arial" w:cs="Arial"/>
        </w:rPr>
      </w:pPr>
      <w:r>
        <w:rPr>
          <w:rFonts w:ascii="Arial" w:hAnsi="Arial" w:cs="Arial"/>
        </w:rPr>
        <w:t>Szcenárió</w:t>
      </w:r>
    </w:p>
    <w:p w:rsidR="00CA266D" w:rsidRPr="0013635D" w:rsidRDefault="00CA266D" w:rsidP="0013635D">
      <w:pPr>
        <w:pStyle w:val="NormlWeb"/>
        <w:shd w:val="clear" w:color="auto" w:fill="FFFFFF"/>
        <w:spacing w:before="0" w:beforeAutospacing="0" w:after="0" w:afterAutospacing="0" w:line="360" w:lineRule="auto"/>
        <w:ind w:left="720"/>
        <w:rPr>
          <w:rFonts w:ascii="Arial" w:hAnsi="Arial" w:cs="Arial"/>
          <w:u w:val="single"/>
        </w:rPr>
      </w:pPr>
      <w:r w:rsidRPr="0013635D">
        <w:rPr>
          <w:rFonts w:ascii="Arial" w:hAnsi="Arial" w:cs="Arial"/>
          <w:u w:val="single"/>
        </w:rPr>
        <w:t xml:space="preserve">LTE TDD – </w:t>
      </w:r>
      <w:proofErr w:type="spellStart"/>
      <w:r w:rsidRPr="0013635D">
        <w:rPr>
          <w:rFonts w:ascii="Arial" w:hAnsi="Arial" w:cs="Arial"/>
          <w:u w:val="single"/>
        </w:rPr>
        <w:t>WIMax</w:t>
      </w:r>
      <w:proofErr w:type="spellEnd"/>
      <w:r w:rsidRPr="0013635D">
        <w:rPr>
          <w:rFonts w:ascii="Arial" w:hAnsi="Arial" w:cs="Arial"/>
          <w:u w:val="single"/>
        </w:rPr>
        <w:t xml:space="preserve"> migráció</w:t>
      </w:r>
    </w:p>
    <w:p w:rsidR="00CA266D" w:rsidRDefault="00CA266D" w:rsidP="00336BA5">
      <w:pPr>
        <w:pStyle w:val="NormlWeb"/>
        <w:shd w:val="clear" w:color="auto" w:fill="FFFFFF"/>
        <w:spacing w:before="0" w:beforeAutospacing="0" w:after="0" w:afterAutospacing="0" w:line="360" w:lineRule="auto"/>
        <w:ind w:left="720"/>
        <w:jc w:val="both"/>
        <w:rPr>
          <w:rFonts w:ascii="Arial" w:hAnsi="Arial" w:cs="Arial"/>
        </w:rPr>
      </w:pPr>
      <w:r>
        <w:rPr>
          <w:rFonts w:ascii="Arial" w:hAnsi="Arial" w:cs="Arial"/>
        </w:rPr>
        <w:t xml:space="preserve">A következő években várható, hogy a </w:t>
      </w:r>
      <w:proofErr w:type="spellStart"/>
      <w:r>
        <w:rPr>
          <w:rFonts w:ascii="Arial" w:hAnsi="Arial" w:cs="Arial"/>
        </w:rPr>
        <w:t>WIMax</w:t>
      </w:r>
      <w:proofErr w:type="spellEnd"/>
      <w:r>
        <w:rPr>
          <w:rFonts w:ascii="Arial" w:hAnsi="Arial" w:cs="Arial"/>
        </w:rPr>
        <w:t xml:space="preserve"> sávokat alkalmazó operátorok un. Hibrid </w:t>
      </w:r>
      <w:proofErr w:type="spellStart"/>
      <w:r>
        <w:rPr>
          <w:rFonts w:ascii="Arial" w:hAnsi="Arial" w:cs="Arial"/>
        </w:rPr>
        <w:t>WIMax</w:t>
      </w:r>
      <w:proofErr w:type="spellEnd"/>
      <w:r>
        <w:rPr>
          <w:rFonts w:ascii="Arial" w:hAnsi="Arial" w:cs="Arial"/>
        </w:rPr>
        <w:t xml:space="preserve">/LTE bázisállomások alkalmazását preferálják a 2,5 és/vagy a 2,3 </w:t>
      </w:r>
      <w:proofErr w:type="spellStart"/>
      <w:r>
        <w:rPr>
          <w:rFonts w:ascii="Arial" w:hAnsi="Arial" w:cs="Arial"/>
        </w:rPr>
        <w:t>GHz-es</w:t>
      </w:r>
      <w:proofErr w:type="spellEnd"/>
      <w:r>
        <w:rPr>
          <w:rFonts w:ascii="Arial" w:hAnsi="Arial" w:cs="Arial"/>
        </w:rPr>
        <w:t xml:space="preserve"> TDD </w:t>
      </w:r>
      <w:r w:rsidR="00736864">
        <w:rPr>
          <w:rFonts w:ascii="Arial" w:hAnsi="Arial" w:cs="Arial"/>
        </w:rPr>
        <w:t xml:space="preserve">sávokban, akár </w:t>
      </w:r>
      <w:proofErr w:type="gramStart"/>
      <w:r w:rsidR="00736864">
        <w:rPr>
          <w:rFonts w:ascii="Arial" w:hAnsi="Arial" w:cs="Arial"/>
        </w:rPr>
        <w:t>ezen</w:t>
      </w:r>
      <w:proofErr w:type="gramEnd"/>
      <w:r w:rsidR="00736864">
        <w:rPr>
          <w:rFonts w:ascii="Arial" w:hAnsi="Arial" w:cs="Arial"/>
        </w:rPr>
        <w:t xml:space="preserve"> rendszerek együttes, akár alternatív alkalmazásával.</w:t>
      </w:r>
    </w:p>
    <w:p w:rsidR="00943601" w:rsidRDefault="00943601" w:rsidP="00943601">
      <w:pPr>
        <w:pStyle w:val="NormlWeb"/>
        <w:shd w:val="clear" w:color="auto" w:fill="FFFFFF"/>
        <w:spacing w:before="0" w:beforeAutospacing="0" w:after="0" w:afterAutospacing="0" w:line="360" w:lineRule="auto"/>
        <w:ind w:left="720"/>
        <w:rPr>
          <w:rFonts w:ascii="Arial" w:hAnsi="Arial" w:cs="Arial"/>
          <w:noProof/>
        </w:rPr>
      </w:pPr>
    </w:p>
    <w:p w:rsidR="00912182" w:rsidRPr="00912182" w:rsidRDefault="00912182" w:rsidP="00F649CF">
      <w:pPr>
        <w:pStyle w:val="NormlWeb"/>
        <w:numPr>
          <w:ilvl w:val="0"/>
          <w:numId w:val="4"/>
        </w:numPr>
        <w:shd w:val="clear" w:color="auto" w:fill="FFFFFF"/>
        <w:spacing w:before="0" w:beforeAutospacing="0" w:after="0" w:afterAutospacing="0" w:line="360" w:lineRule="auto"/>
        <w:rPr>
          <w:rFonts w:ascii="Arial" w:hAnsi="Arial" w:cs="Arial"/>
          <w:b/>
        </w:rPr>
      </w:pPr>
      <w:bookmarkStart w:id="0" w:name="_Toc330148519"/>
      <w:r w:rsidRPr="00912182">
        <w:rPr>
          <w:rFonts w:ascii="Arial" w:hAnsi="Arial" w:cs="Arial"/>
          <w:b/>
        </w:rPr>
        <w:t>TDD frekvenciasávokat használó hálózatok egymás melletti működésének problémái</w:t>
      </w:r>
      <w:bookmarkEnd w:id="0"/>
    </w:p>
    <w:p w:rsidR="00912182" w:rsidRDefault="00912182" w:rsidP="00912182">
      <w:pPr>
        <w:pStyle w:val="Listaszerbekezds"/>
        <w:ind w:left="360"/>
        <w:rPr>
          <w:sz w:val="18"/>
          <w:szCs w:val="18"/>
        </w:rPr>
      </w:pPr>
    </w:p>
    <w:p w:rsidR="00912182" w:rsidRDefault="00912182" w:rsidP="00912182">
      <w:pPr>
        <w:pStyle w:val="Listaszerbekezds"/>
        <w:spacing w:line="360" w:lineRule="auto"/>
        <w:ind w:left="0"/>
        <w:jc w:val="both"/>
        <w:rPr>
          <w:rFonts w:ascii="Arial" w:hAnsi="Arial" w:cs="Arial"/>
          <w:sz w:val="24"/>
          <w:szCs w:val="24"/>
        </w:rPr>
      </w:pPr>
      <w:r w:rsidRPr="0056162E">
        <w:rPr>
          <w:rFonts w:ascii="Arial" w:hAnsi="Arial" w:cs="Arial"/>
          <w:sz w:val="24"/>
          <w:szCs w:val="24"/>
        </w:rPr>
        <w:t>Két szolgáltató egy földrajzi területen való működése számos problémát vet fel a frekvenciaallokáció és interferencia</w:t>
      </w:r>
      <w:r>
        <w:rPr>
          <w:rFonts w:ascii="Arial" w:hAnsi="Arial" w:cs="Arial"/>
          <w:sz w:val="24"/>
          <w:szCs w:val="24"/>
        </w:rPr>
        <w:t xml:space="preserve"> </w:t>
      </w:r>
      <w:r w:rsidRPr="0056162E">
        <w:rPr>
          <w:rFonts w:ascii="Arial" w:hAnsi="Arial" w:cs="Arial"/>
          <w:sz w:val="24"/>
          <w:szCs w:val="24"/>
        </w:rPr>
        <w:t>problémák szempontjából, különösen akkor, ha a két szolgáltató által használt frekvenciasáv közö</w:t>
      </w:r>
      <w:r>
        <w:rPr>
          <w:rFonts w:ascii="Arial" w:hAnsi="Arial" w:cs="Arial"/>
          <w:sz w:val="24"/>
          <w:szCs w:val="24"/>
        </w:rPr>
        <w:t>tt a védősáv 2,5 MHz-nél kisebb</w:t>
      </w:r>
      <w:r w:rsidRPr="0056162E">
        <w:rPr>
          <w:rFonts w:ascii="Arial" w:hAnsi="Arial" w:cs="Arial"/>
          <w:sz w:val="24"/>
          <w:szCs w:val="24"/>
        </w:rPr>
        <w:t xml:space="preserve"> </w:t>
      </w:r>
      <w:r>
        <w:rPr>
          <w:rFonts w:ascii="Arial" w:hAnsi="Arial" w:cs="Arial"/>
          <w:sz w:val="24"/>
          <w:szCs w:val="24"/>
        </w:rPr>
        <w:t xml:space="preserve">(a nemzetközi előírások minimum 7-12 MHz védősáv alkalmazását ajánlják.) </w:t>
      </w:r>
    </w:p>
    <w:p w:rsidR="00912182" w:rsidRPr="0056162E" w:rsidRDefault="00912182" w:rsidP="00912182">
      <w:pPr>
        <w:pStyle w:val="Listaszerbekezds"/>
        <w:spacing w:line="360" w:lineRule="auto"/>
        <w:ind w:left="0"/>
        <w:jc w:val="both"/>
        <w:rPr>
          <w:rFonts w:ascii="Arial" w:hAnsi="Arial" w:cs="Arial"/>
          <w:sz w:val="24"/>
          <w:szCs w:val="24"/>
        </w:rPr>
      </w:pPr>
      <w:r w:rsidRPr="0056162E">
        <w:rPr>
          <w:rFonts w:ascii="Arial" w:hAnsi="Arial" w:cs="Arial"/>
          <w:sz w:val="24"/>
          <w:szCs w:val="24"/>
        </w:rPr>
        <w:t xml:space="preserve">A hálózatok egymás mellett való működése </w:t>
      </w:r>
      <w:r>
        <w:rPr>
          <w:rFonts w:ascii="Arial" w:hAnsi="Arial" w:cs="Arial"/>
          <w:sz w:val="24"/>
          <w:szCs w:val="24"/>
        </w:rPr>
        <w:t xml:space="preserve">ilyenkor </w:t>
      </w:r>
      <w:r w:rsidRPr="0056162E">
        <w:rPr>
          <w:rFonts w:ascii="Arial" w:hAnsi="Arial" w:cs="Arial"/>
          <w:sz w:val="24"/>
          <w:szCs w:val="24"/>
        </w:rPr>
        <w:t xml:space="preserve">elsősorban </w:t>
      </w:r>
      <w:proofErr w:type="spellStart"/>
      <w:r w:rsidRPr="0056162E">
        <w:rPr>
          <w:rFonts w:ascii="Arial" w:hAnsi="Arial" w:cs="Arial"/>
          <w:sz w:val="24"/>
          <w:szCs w:val="24"/>
        </w:rPr>
        <w:t>szinkronizációs</w:t>
      </w:r>
      <w:proofErr w:type="spellEnd"/>
      <w:r w:rsidRPr="0056162E">
        <w:rPr>
          <w:rFonts w:ascii="Arial" w:hAnsi="Arial" w:cs="Arial"/>
          <w:sz w:val="24"/>
          <w:szCs w:val="24"/>
        </w:rPr>
        <w:t xml:space="preserve"> problémákat vet fel, melyet kellő körültekintéssel </w:t>
      </w:r>
      <w:r>
        <w:rPr>
          <w:rFonts w:ascii="Arial" w:hAnsi="Arial" w:cs="Arial"/>
          <w:sz w:val="24"/>
          <w:szCs w:val="24"/>
        </w:rPr>
        <w:t xml:space="preserve">és dinamikusan </w:t>
      </w:r>
      <w:r w:rsidRPr="0056162E">
        <w:rPr>
          <w:rFonts w:ascii="Arial" w:hAnsi="Arial" w:cs="Arial"/>
          <w:sz w:val="24"/>
          <w:szCs w:val="24"/>
        </w:rPr>
        <w:t>kell kezelni.  A legkritikusabb problémák a két szomszédos bázisállomás BS-BS (</w:t>
      </w:r>
      <w:proofErr w:type="spellStart"/>
      <w:r w:rsidRPr="0056162E">
        <w:rPr>
          <w:rFonts w:ascii="Arial" w:hAnsi="Arial" w:cs="Arial"/>
          <w:sz w:val="24"/>
          <w:szCs w:val="24"/>
        </w:rPr>
        <w:t>Bázisállomás-Bázisállomás</w:t>
      </w:r>
      <w:proofErr w:type="spellEnd"/>
      <w:r w:rsidRPr="0056162E">
        <w:rPr>
          <w:rFonts w:ascii="Arial" w:hAnsi="Arial" w:cs="Arial"/>
          <w:sz w:val="24"/>
          <w:szCs w:val="24"/>
        </w:rPr>
        <w:t>) viszonylatában adódnak (a bázisállomások viszonylagosan statikus terhelése miatt) és nagyon sok felhasználói csatornát érintenek</w:t>
      </w:r>
      <w:r>
        <w:rPr>
          <w:rFonts w:ascii="Arial" w:hAnsi="Arial" w:cs="Arial"/>
          <w:sz w:val="24"/>
          <w:szCs w:val="24"/>
        </w:rPr>
        <w:t xml:space="preserve"> mind a két szolgáltatónál</w:t>
      </w:r>
      <w:r w:rsidRPr="0056162E">
        <w:rPr>
          <w:rFonts w:ascii="Arial" w:hAnsi="Arial" w:cs="Arial"/>
          <w:sz w:val="24"/>
          <w:szCs w:val="24"/>
        </w:rPr>
        <w:t xml:space="preserve">. Az MS-BS </w:t>
      </w:r>
      <w:r>
        <w:rPr>
          <w:rFonts w:ascii="Arial" w:hAnsi="Arial" w:cs="Arial"/>
          <w:sz w:val="24"/>
          <w:szCs w:val="24"/>
        </w:rPr>
        <w:t xml:space="preserve">(Mobil készülék - Bázisállomás) </w:t>
      </w:r>
      <w:r w:rsidRPr="0056162E">
        <w:rPr>
          <w:rFonts w:ascii="Arial" w:hAnsi="Arial" w:cs="Arial"/>
          <w:sz w:val="24"/>
          <w:szCs w:val="24"/>
        </w:rPr>
        <w:t xml:space="preserve">interferencia kevésbé kritikus, hiszen az MS </w:t>
      </w:r>
      <w:r>
        <w:rPr>
          <w:rFonts w:ascii="Arial" w:hAnsi="Arial" w:cs="Arial"/>
          <w:sz w:val="24"/>
          <w:szCs w:val="24"/>
        </w:rPr>
        <w:t xml:space="preserve">igényelt sávszélessége, így a csatorna sebessége az igényelt </w:t>
      </w:r>
      <w:proofErr w:type="spellStart"/>
      <w:r>
        <w:rPr>
          <w:rFonts w:ascii="Arial" w:hAnsi="Arial" w:cs="Arial"/>
          <w:sz w:val="24"/>
          <w:szCs w:val="24"/>
        </w:rPr>
        <w:t>QoS-től</w:t>
      </w:r>
      <w:proofErr w:type="spellEnd"/>
      <w:r>
        <w:rPr>
          <w:rFonts w:ascii="Arial" w:hAnsi="Arial" w:cs="Arial"/>
          <w:sz w:val="24"/>
          <w:szCs w:val="24"/>
        </w:rPr>
        <w:t xml:space="preserve"> függően folyamatosan és dinamikusan változik és csak akkor jelent </w:t>
      </w:r>
      <w:r>
        <w:rPr>
          <w:rFonts w:ascii="Arial" w:hAnsi="Arial" w:cs="Arial"/>
          <w:sz w:val="24"/>
          <w:szCs w:val="24"/>
        </w:rPr>
        <w:lastRenderedPageBreak/>
        <w:t>problémát, ha a készülék a másik operátor bázisállomásához közel kerül. Az MS-MS zavarás a legkevésbé kiszámítható, így lényegében véletlenszerű zavarásokat kell lehetőleg a legrövidebb idő alatt kezelni</w:t>
      </w:r>
    </w:p>
    <w:p w:rsidR="00912182" w:rsidRDefault="00912182" w:rsidP="00912182">
      <w:pPr>
        <w:pStyle w:val="Listaszerbekezds"/>
        <w:spacing w:line="360" w:lineRule="auto"/>
        <w:ind w:left="0"/>
        <w:jc w:val="both"/>
        <w:rPr>
          <w:rFonts w:ascii="Arial" w:hAnsi="Arial" w:cs="Arial"/>
          <w:sz w:val="24"/>
          <w:szCs w:val="24"/>
        </w:rPr>
      </w:pPr>
      <w:r>
        <w:rPr>
          <w:rFonts w:ascii="Arial" w:hAnsi="Arial" w:cs="Arial"/>
          <w:sz w:val="24"/>
          <w:szCs w:val="24"/>
        </w:rPr>
        <w:t xml:space="preserve">A csatornák viszonylag zavarásmentes működésének feltétele tehát a megfelelő nagyságú védősávok alkalmazása, illetve (ha ez nem megoldható) a két szolgáltató hálózatának UL-DL forgalmának megfelelő szinkronizálása. Az alábbi ábrán f1 és f2 között azonos nagyságú (de nem kellő szélességű) védősáv kerül alkalmazásra, azonban az UL és DL irányok szinkronizálása az első esetben egy időintervallumba esik. A második esetben az UL-DL irányok átlapolódnak, így vannak olyam időintervallumok, ahol a két rendszer jelentősen zavarja egymást. </w:t>
      </w:r>
    </w:p>
    <w:p w:rsidR="00912182" w:rsidRDefault="00912182" w:rsidP="00912182">
      <w:pPr>
        <w:pStyle w:val="Listaszerbekezds"/>
        <w:ind w:left="360"/>
        <w:rPr>
          <w:sz w:val="18"/>
          <w:szCs w:val="18"/>
        </w:rPr>
      </w:pPr>
    </w:p>
    <w:p w:rsidR="00912182" w:rsidRDefault="00912182" w:rsidP="00912182">
      <w:pPr>
        <w:pStyle w:val="Listaszerbekezds"/>
        <w:ind w:left="360"/>
        <w:rPr>
          <w:sz w:val="18"/>
          <w:szCs w:val="18"/>
        </w:rPr>
      </w:pPr>
      <w:r>
        <w:rPr>
          <w:noProof/>
          <w:sz w:val="18"/>
          <w:szCs w:val="18"/>
          <w:lang w:eastAsia="hu-HU"/>
        </w:rPr>
        <w:drawing>
          <wp:inline distT="0" distB="0" distL="0" distR="0">
            <wp:extent cx="5760720" cy="3503267"/>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760720" cy="3503267"/>
                    </a:xfrm>
                    <a:prstGeom prst="rect">
                      <a:avLst/>
                    </a:prstGeom>
                    <a:noFill/>
                    <a:ln w="9525">
                      <a:noFill/>
                      <a:miter lim="800000"/>
                      <a:headEnd/>
                      <a:tailEnd/>
                    </a:ln>
                  </pic:spPr>
                </pic:pic>
              </a:graphicData>
            </a:graphic>
          </wp:inline>
        </w:drawing>
      </w:r>
    </w:p>
    <w:p w:rsidR="00912182" w:rsidRDefault="00912182" w:rsidP="00912182">
      <w:pPr>
        <w:pStyle w:val="Listaszerbekezds"/>
        <w:spacing w:line="360" w:lineRule="auto"/>
        <w:ind w:left="0"/>
        <w:jc w:val="both"/>
        <w:rPr>
          <w:rFonts w:ascii="Arial" w:hAnsi="Arial" w:cs="Arial"/>
          <w:sz w:val="24"/>
          <w:szCs w:val="24"/>
        </w:rPr>
      </w:pPr>
    </w:p>
    <w:p w:rsidR="00912182" w:rsidRDefault="00912182" w:rsidP="00912182">
      <w:pPr>
        <w:pStyle w:val="Listaszerbekezds"/>
        <w:spacing w:line="360" w:lineRule="auto"/>
        <w:ind w:left="0"/>
        <w:jc w:val="center"/>
        <w:rPr>
          <w:rFonts w:ascii="Arial" w:hAnsi="Arial" w:cs="Arial"/>
          <w:i/>
          <w:sz w:val="24"/>
          <w:szCs w:val="24"/>
        </w:rPr>
      </w:pPr>
      <w:r w:rsidRPr="00D73B64">
        <w:rPr>
          <w:rFonts w:ascii="Arial" w:hAnsi="Arial" w:cs="Arial"/>
          <w:i/>
          <w:sz w:val="24"/>
          <w:szCs w:val="24"/>
        </w:rPr>
        <w:t>Szinkronizálás kérdései TDD módú hálózatok között</w:t>
      </w:r>
    </w:p>
    <w:p w:rsidR="00E02EF5" w:rsidRPr="00D73B64" w:rsidRDefault="00E02EF5" w:rsidP="00912182">
      <w:pPr>
        <w:pStyle w:val="Listaszerbekezds"/>
        <w:spacing w:line="360" w:lineRule="auto"/>
        <w:ind w:left="0"/>
        <w:jc w:val="center"/>
        <w:rPr>
          <w:rFonts w:ascii="Arial" w:hAnsi="Arial" w:cs="Arial"/>
          <w:i/>
          <w:sz w:val="24"/>
          <w:szCs w:val="24"/>
        </w:rPr>
      </w:pPr>
    </w:p>
    <w:p w:rsidR="00912182" w:rsidRDefault="00912182" w:rsidP="00912182">
      <w:pPr>
        <w:pStyle w:val="Listaszerbekezds"/>
        <w:spacing w:line="360" w:lineRule="auto"/>
        <w:ind w:left="0"/>
        <w:jc w:val="both"/>
        <w:rPr>
          <w:rFonts w:ascii="Arial" w:hAnsi="Arial" w:cs="Arial"/>
          <w:sz w:val="24"/>
          <w:szCs w:val="24"/>
        </w:rPr>
      </w:pPr>
      <w:r>
        <w:rPr>
          <w:rFonts w:ascii="Arial" w:hAnsi="Arial" w:cs="Arial"/>
          <w:sz w:val="24"/>
          <w:szCs w:val="24"/>
        </w:rPr>
        <w:t>Ha a szinkronizálás megoldott, nem szükséges a kellő minimális védősáv (7-12 MHz) biztosítása. Ellenkező esetben számolni kell a két rendszer közötti BS-BS és MS-MS zavarással, amelyet az un. ACLR (</w:t>
      </w:r>
      <w:proofErr w:type="spellStart"/>
      <w:r>
        <w:rPr>
          <w:rFonts w:ascii="Arial" w:hAnsi="Arial" w:cs="Arial"/>
          <w:sz w:val="24"/>
          <w:szCs w:val="24"/>
        </w:rPr>
        <w:t>Adjacent</w:t>
      </w:r>
      <w:proofErr w:type="spellEnd"/>
      <w:r>
        <w:rPr>
          <w:rFonts w:ascii="Arial" w:hAnsi="Arial" w:cs="Arial"/>
          <w:sz w:val="24"/>
          <w:szCs w:val="24"/>
        </w:rPr>
        <w:t xml:space="preserve"> </w:t>
      </w:r>
      <w:proofErr w:type="spellStart"/>
      <w:r>
        <w:rPr>
          <w:rFonts w:ascii="Arial" w:hAnsi="Arial" w:cs="Arial"/>
          <w:sz w:val="24"/>
          <w:szCs w:val="24"/>
        </w:rPr>
        <w:t>Cell</w:t>
      </w:r>
      <w:proofErr w:type="spellEnd"/>
      <w:r>
        <w:rPr>
          <w:rFonts w:ascii="Arial" w:hAnsi="Arial" w:cs="Arial"/>
          <w:sz w:val="24"/>
          <w:szCs w:val="24"/>
        </w:rPr>
        <w:t xml:space="preserve"> </w:t>
      </w:r>
      <w:proofErr w:type="spellStart"/>
      <w:r>
        <w:rPr>
          <w:rFonts w:ascii="Arial" w:hAnsi="Arial" w:cs="Arial"/>
          <w:sz w:val="24"/>
          <w:szCs w:val="24"/>
        </w:rPr>
        <w:t>Leakage</w:t>
      </w:r>
      <w:proofErr w:type="spellEnd"/>
      <w:r>
        <w:rPr>
          <w:rFonts w:ascii="Arial" w:hAnsi="Arial" w:cs="Arial"/>
          <w:sz w:val="24"/>
          <w:szCs w:val="24"/>
        </w:rPr>
        <w:t xml:space="preserve"> Ratio= szomszédos csatorna áthallási arány) és MCL (</w:t>
      </w:r>
      <w:proofErr w:type="spellStart"/>
      <w:r>
        <w:rPr>
          <w:rFonts w:ascii="Arial" w:hAnsi="Arial" w:cs="Arial"/>
          <w:sz w:val="24"/>
          <w:szCs w:val="24"/>
        </w:rPr>
        <w:t>Mutual</w:t>
      </w:r>
      <w:proofErr w:type="spellEnd"/>
      <w:r>
        <w:rPr>
          <w:rFonts w:ascii="Arial" w:hAnsi="Arial" w:cs="Arial"/>
          <w:sz w:val="24"/>
          <w:szCs w:val="24"/>
        </w:rPr>
        <w:t xml:space="preserve"> </w:t>
      </w:r>
      <w:proofErr w:type="spellStart"/>
      <w:r>
        <w:rPr>
          <w:rFonts w:ascii="Arial" w:hAnsi="Arial" w:cs="Arial"/>
          <w:sz w:val="24"/>
          <w:szCs w:val="24"/>
        </w:rPr>
        <w:t>Coupling</w:t>
      </w:r>
      <w:proofErr w:type="spellEnd"/>
      <w:r>
        <w:rPr>
          <w:rFonts w:ascii="Arial" w:hAnsi="Arial" w:cs="Arial"/>
          <w:sz w:val="24"/>
          <w:szCs w:val="24"/>
        </w:rPr>
        <w:t xml:space="preserve"> </w:t>
      </w:r>
      <w:proofErr w:type="spellStart"/>
      <w:r>
        <w:rPr>
          <w:rFonts w:ascii="Arial" w:hAnsi="Arial" w:cs="Arial"/>
          <w:sz w:val="24"/>
          <w:szCs w:val="24"/>
        </w:rPr>
        <w:t>Loss</w:t>
      </w:r>
      <w:proofErr w:type="spellEnd"/>
      <w:r>
        <w:rPr>
          <w:rFonts w:ascii="Arial" w:hAnsi="Arial" w:cs="Arial"/>
          <w:sz w:val="24"/>
          <w:szCs w:val="24"/>
        </w:rPr>
        <w:t xml:space="preserve"> = kölcsönös csatolási veszteség) paraméterekkel lehet jellemezni. A paraméterek meghatározására a CEPT (</w:t>
      </w:r>
      <w:r w:rsidRPr="00F95B40">
        <w:rPr>
          <w:rFonts w:ascii="Arial" w:hAnsi="Arial" w:cs="Arial"/>
          <w:sz w:val="24"/>
          <w:szCs w:val="24"/>
        </w:rPr>
        <w:t xml:space="preserve">CEPT </w:t>
      </w:r>
      <w:proofErr w:type="spellStart"/>
      <w:r w:rsidRPr="00F95B40">
        <w:rPr>
          <w:rFonts w:ascii="Arial" w:hAnsi="Arial" w:cs="Arial"/>
          <w:sz w:val="24"/>
          <w:szCs w:val="24"/>
        </w:rPr>
        <w:t>report</w:t>
      </w:r>
      <w:proofErr w:type="spellEnd"/>
      <w:r w:rsidRPr="00F95B40">
        <w:rPr>
          <w:rFonts w:ascii="Arial" w:hAnsi="Arial" w:cs="Arial"/>
          <w:sz w:val="24"/>
          <w:szCs w:val="24"/>
        </w:rPr>
        <w:t xml:space="preserve"> 019</w:t>
      </w:r>
      <w:r>
        <w:rPr>
          <w:rFonts w:ascii="Arial" w:hAnsi="Arial" w:cs="Arial"/>
          <w:sz w:val="24"/>
          <w:szCs w:val="24"/>
        </w:rPr>
        <w:t>)</w:t>
      </w:r>
      <w:r w:rsidRPr="00F95B40">
        <w:rPr>
          <w:rFonts w:ascii="Arial" w:hAnsi="Arial" w:cs="Arial"/>
          <w:sz w:val="24"/>
          <w:szCs w:val="24"/>
        </w:rPr>
        <w:t xml:space="preserve"> </w:t>
      </w:r>
      <w:r>
        <w:rPr>
          <w:rFonts w:ascii="Arial" w:hAnsi="Arial" w:cs="Arial"/>
          <w:sz w:val="24"/>
          <w:szCs w:val="24"/>
        </w:rPr>
        <w:t xml:space="preserve">és a 3GPP </w:t>
      </w:r>
      <w:r w:rsidRPr="00F95B40">
        <w:rPr>
          <w:rFonts w:ascii="Arial" w:hAnsi="Arial" w:cs="Arial"/>
          <w:sz w:val="24"/>
          <w:szCs w:val="24"/>
        </w:rPr>
        <w:t>(3GPP TS 36.104)</w:t>
      </w:r>
      <w:r>
        <w:rPr>
          <w:sz w:val="18"/>
          <w:szCs w:val="18"/>
        </w:rPr>
        <w:t xml:space="preserve"> </w:t>
      </w:r>
      <w:r>
        <w:rPr>
          <w:rFonts w:ascii="Arial" w:hAnsi="Arial" w:cs="Arial"/>
          <w:sz w:val="24"/>
          <w:szCs w:val="24"/>
        </w:rPr>
        <w:t xml:space="preserve">is méréseket dolgozott ki, és megvizsgálta az egyes 4G TDD frekvenciasávokban jelentkező hatásokat. A </w:t>
      </w:r>
      <w:r>
        <w:rPr>
          <w:rFonts w:ascii="Arial" w:hAnsi="Arial" w:cs="Arial"/>
          <w:sz w:val="24"/>
          <w:szCs w:val="24"/>
        </w:rPr>
        <w:lastRenderedPageBreak/>
        <w:t xml:space="preserve">dokumentumok az interferencia csökkentése és optimalizálása érdekében ajánlásokat adnak az antennák kimeneti teljesítményére és az antennák közötti optimális vertikális izoláció meghatározására. Ennek megvalósítása csak igen drága szűrőrendszerekkel oldható meg, amelyek alkalmazása csak részben enyhíti az interferenciák okozta problémákat. Ha az adott területen egy idő után a forgalom jelentősen megnő, az igényelt antenna teljesítmény is változik, amely újabb interferencia problémákat generál, így a rendszerek kapacitása is jelentősen csökken. </w:t>
      </w:r>
    </w:p>
    <w:p w:rsidR="00912182" w:rsidRDefault="00912182" w:rsidP="00912182">
      <w:pPr>
        <w:pStyle w:val="Listaszerbekezds"/>
        <w:spacing w:line="360" w:lineRule="auto"/>
        <w:ind w:left="0"/>
        <w:jc w:val="both"/>
        <w:rPr>
          <w:rFonts w:ascii="Arial" w:hAnsi="Arial" w:cs="Arial"/>
          <w:sz w:val="24"/>
          <w:szCs w:val="24"/>
        </w:rPr>
      </w:pPr>
      <w:r>
        <w:rPr>
          <w:rFonts w:ascii="Arial" w:hAnsi="Arial" w:cs="Arial"/>
          <w:sz w:val="24"/>
          <w:szCs w:val="24"/>
        </w:rPr>
        <w:t>Mindezeket figyelembe véve a nemzetközi trendek a következőt ajánlják:</w:t>
      </w:r>
    </w:p>
    <w:p w:rsidR="00912182" w:rsidRDefault="00912182" w:rsidP="00912182">
      <w:pPr>
        <w:pStyle w:val="Listaszerbekezds"/>
        <w:numPr>
          <w:ilvl w:val="0"/>
          <w:numId w:val="2"/>
        </w:numPr>
        <w:spacing w:line="360" w:lineRule="auto"/>
        <w:jc w:val="both"/>
        <w:rPr>
          <w:rFonts w:ascii="Arial" w:hAnsi="Arial" w:cs="Arial"/>
          <w:sz w:val="24"/>
          <w:szCs w:val="24"/>
        </w:rPr>
      </w:pPr>
      <w:r>
        <w:rPr>
          <w:rFonts w:ascii="Arial" w:hAnsi="Arial" w:cs="Arial"/>
          <w:sz w:val="24"/>
          <w:szCs w:val="24"/>
        </w:rPr>
        <w:t xml:space="preserve">Megfelelő védősávok használata a két szolgáltató által használt frekvenciasávok között (min. 7-12 MHz), ha a két szolgáltató hálózata aszinkron módon működik (nincs UL-DL </w:t>
      </w:r>
      <w:proofErr w:type="spellStart"/>
      <w:r>
        <w:rPr>
          <w:rFonts w:ascii="Arial" w:hAnsi="Arial" w:cs="Arial"/>
          <w:sz w:val="24"/>
          <w:szCs w:val="24"/>
        </w:rPr>
        <w:t>szinkronizáció</w:t>
      </w:r>
      <w:proofErr w:type="spellEnd"/>
      <w:r>
        <w:rPr>
          <w:rFonts w:ascii="Arial" w:hAnsi="Arial" w:cs="Arial"/>
          <w:sz w:val="24"/>
          <w:szCs w:val="24"/>
        </w:rPr>
        <w:t>).</w:t>
      </w:r>
    </w:p>
    <w:p w:rsidR="00912182" w:rsidRDefault="00912182" w:rsidP="00912182">
      <w:pPr>
        <w:pStyle w:val="Listaszerbekezds"/>
        <w:numPr>
          <w:ilvl w:val="0"/>
          <w:numId w:val="2"/>
        </w:numPr>
        <w:spacing w:line="360" w:lineRule="auto"/>
        <w:jc w:val="both"/>
        <w:rPr>
          <w:rFonts w:ascii="Arial" w:hAnsi="Arial" w:cs="Arial"/>
          <w:sz w:val="24"/>
          <w:szCs w:val="24"/>
        </w:rPr>
      </w:pPr>
      <w:r>
        <w:rPr>
          <w:rFonts w:ascii="Arial" w:hAnsi="Arial" w:cs="Arial"/>
          <w:sz w:val="24"/>
          <w:szCs w:val="24"/>
        </w:rPr>
        <w:t>Ha a két szolgáltató hálózata (cellája) össze van szinkronozva, nem szükséges védősáv használata.</w:t>
      </w:r>
    </w:p>
    <w:p w:rsidR="00912182" w:rsidRDefault="00912182" w:rsidP="00912182">
      <w:pPr>
        <w:pStyle w:val="Listaszerbekezds"/>
        <w:numPr>
          <w:ilvl w:val="0"/>
          <w:numId w:val="2"/>
        </w:numPr>
        <w:spacing w:line="360" w:lineRule="auto"/>
        <w:jc w:val="both"/>
        <w:rPr>
          <w:rFonts w:ascii="Arial" w:hAnsi="Arial" w:cs="Arial"/>
          <w:sz w:val="24"/>
          <w:szCs w:val="24"/>
        </w:rPr>
      </w:pPr>
      <w:r>
        <w:rPr>
          <w:rFonts w:ascii="Arial" w:hAnsi="Arial" w:cs="Arial"/>
          <w:sz w:val="24"/>
          <w:szCs w:val="24"/>
        </w:rPr>
        <w:t>Ha kicsi a védősáv és nincs szinkronozás, az interferenciák kezelése csak bonyolult és drága megoldásokkal (szűrők, antennák izolációja) oldható meg, amely nem költséghatékony.</w:t>
      </w:r>
    </w:p>
    <w:p w:rsidR="00736864" w:rsidRDefault="00736864" w:rsidP="00943601">
      <w:pPr>
        <w:pStyle w:val="NormlWeb"/>
        <w:shd w:val="clear" w:color="auto" w:fill="FFFFFF"/>
        <w:spacing w:before="0" w:beforeAutospacing="0" w:after="0" w:afterAutospacing="0" w:line="360" w:lineRule="auto"/>
        <w:ind w:left="720"/>
        <w:rPr>
          <w:rFonts w:ascii="Arial" w:hAnsi="Arial" w:cs="Arial"/>
        </w:rPr>
      </w:pPr>
    </w:p>
    <w:p w:rsidR="00943601" w:rsidRDefault="00A94E1F" w:rsidP="00F649CF">
      <w:pPr>
        <w:pStyle w:val="NormlWeb"/>
        <w:shd w:val="clear" w:color="auto" w:fill="FFFFFF"/>
        <w:spacing w:before="0" w:beforeAutospacing="0" w:after="0" w:afterAutospacing="0" w:line="360" w:lineRule="auto"/>
        <w:rPr>
          <w:rFonts w:ascii="Arial" w:hAnsi="Arial" w:cs="Arial"/>
        </w:rPr>
      </w:pPr>
      <w:r>
        <w:rPr>
          <w:rFonts w:ascii="Arial" w:hAnsi="Arial" w:cs="Arial"/>
        </w:rPr>
        <w:t>Felhasznált irodalmak</w:t>
      </w:r>
    </w:p>
    <w:p w:rsidR="00656EC5" w:rsidRDefault="00A94E1F" w:rsidP="00F649CF">
      <w:pPr>
        <w:pStyle w:val="NormlWeb"/>
        <w:shd w:val="clear" w:color="auto" w:fill="FFFFFF"/>
        <w:spacing w:before="0" w:beforeAutospacing="0" w:after="0" w:afterAutospacing="0" w:line="360" w:lineRule="auto"/>
        <w:rPr>
          <w:rFonts w:ascii="Arial" w:hAnsi="Arial" w:cs="Arial"/>
          <w:i/>
          <w:sz w:val="20"/>
          <w:szCs w:val="20"/>
        </w:rPr>
      </w:pPr>
      <w:r w:rsidRPr="00A94E1F">
        <w:rPr>
          <w:rFonts w:ascii="Arial" w:hAnsi="Arial" w:cs="Arial"/>
          <w:i/>
          <w:sz w:val="20"/>
          <w:szCs w:val="20"/>
        </w:rPr>
        <w:t xml:space="preserve">[1] LTE TDD </w:t>
      </w:r>
      <w:proofErr w:type="spellStart"/>
      <w:r w:rsidRPr="00A94E1F">
        <w:rPr>
          <w:rFonts w:ascii="Arial" w:hAnsi="Arial" w:cs="Arial"/>
          <w:i/>
          <w:sz w:val="20"/>
          <w:szCs w:val="20"/>
        </w:rPr>
        <w:t>Industry</w:t>
      </w:r>
      <w:proofErr w:type="spellEnd"/>
      <w:r w:rsidRPr="00A94E1F">
        <w:rPr>
          <w:rFonts w:ascii="Arial" w:hAnsi="Arial" w:cs="Arial"/>
          <w:i/>
          <w:sz w:val="20"/>
          <w:szCs w:val="20"/>
        </w:rPr>
        <w:t xml:space="preserve"> </w:t>
      </w:r>
      <w:proofErr w:type="spellStart"/>
      <w:r w:rsidRPr="00A94E1F">
        <w:rPr>
          <w:rFonts w:ascii="Arial" w:hAnsi="Arial" w:cs="Arial"/>
          <w:i/>
          <w:sz w:val="20"/>
          <w:szCs w:val="20"/>
        </w:rPr>
        <w:t>Breifing</w:t>
      </w:r>
      <w:proofErr w:type="spellEnd"/>
      <w:r w:rsidRPr="00A94E1F">
        <w:rPr>
          <w:rFonts w:ascii="Arial" w:hAnsi="Arial" w:cs="Arial"/>
          <w:i/>
          <w:sz w:val="20"/>
          <w:szCs w:val="20"/>
        </w:rPr>
        <w:t xml:space="preserve">, November 2011. GTI </w:t>
      </w:r>
      <w:proofErr w:type="spellStart"/>
      <w:r w:rsidRPr="00A94E1F">
        <w:rPr>
          <w:rFonts w:ascii="Arial" w:hAnsi="Arial" w:cs="Arial"/>
          <w:i/>
          <w:sz w:val="20"/>
          <w:szCs w:val="20"/>
        </w:rPr>
        <w:t>Secretariat</w:t>
      </w:r>
      <w:proofErr w:type="spellEnd"/>
      <w:r w:rsidRPr="00A94E1F">
        <w:rPr>
          <w:rFonts w:ascii="Arial" w:hAnsi="Arial" w:cs="Arial"/>
          <w:i/>
          <w:sz w:val="20"/>
          <w:szCs w:val="20"/>
        </w:rPr>
        <w:t xml:space="preserve"> </w:t>
      </w:r>
      <w:r w:rsidR="00656EC5">
        <w:rPr>
          <w:rFonts w:ascii="Arial" w:hAnsi="Arial" w:cs="Arial"/>
          <w:i/>
          <w:sz w:val="20"/>
          <w:szCs w:val="20"/>
        </w:rPr>
        <w:t>(www.gsacom.com)</w:t>
      </w:r>
    </w:p>
    <w:p w:rsidR="00A94E1F" w:rsidRDefault="00A94E1F" w:rsidP="00F649CF">
      <w:pPr>
        <w:pStyle w:val="NormlWeb"/>
        <w:shd w:val="clear" w:color="auto" w:fill="FFFFFF"/>
        <w:spacing w:before="0" w:beforeAutospacing="0" w:after="0" w:afterAutospacing="0" w:line="360" w:lineRule="auto"/>
        <w:rPr>
          <w:rFonts w:ascii="Arial" w:hAnsi="Arial" w:cs="Arial"/>
          <w:i/>
          <w:sz w:val="20"/>
          <w:szCs w:val="20"/>
        </w:rPr>
      </w:pPr>
      <w:r w:rsidRPr="00A94E1F">
        <w:rPr>
          <w:rFonts w:ascii="Arial" w:hAnsi="Arial" w:cs="Arial"/>
          <w:i/>
          <w:sz w:val="20"/>
          <w:szCs w:val="20"/>
        </w:rPr>
        <w:t xml:space="preserve">[2] White </w:t>
      </w:r>
      <w:proofErr w:type="spellStart"/>
      <w:r w:rsidRPr="00A94E1F">
        <w:rPr>
          <w:rFonts w:ascii="Arial" w:hAnsi="Arial" w:cs="Arial"/>
          <w:i/>
          <w:sz w:val="20"/>
          <w:szCs w:val="20"/>
        </w:rPr>
        <w:t>Paper</w:t>
      </w:r>
      <w:proofErr w:type="spellEnd"/>
      <w:r w:rsidRPr="00A94E1F">
        <w:rPr>
          <w:rFonts w:ascii="Arial" w:hAnsi="Arial" w:cs="Arial"/>
          <w:i/>
          <w:sz w:val="20"/>
          <w:szCs w:val="20"/>
        </w:rPr>
        <w:t xml:space="preserve">, LTE TDD Operator Business </w:t>
      </w:r>
      <w:proofErr w:type="spellStart"/>
      <w:r w:rsidRPr="00A94E1F">
        <w:rPr>
          <w:rFonts w:ascii="Arial" w:hAnsi="Arial" w:cs="Arial"/>
          <w:i/>
          <w:sz w:val="20"/>
          <w:szCs w:val="20"/>
        </w:rPr>
        <w:t>Case</w:t>
      </w:r>
      <w:proofErr w:type="spellEnd"/>
      <w:r w:rsidRPr="00A94E1F">
        <w:rPr>
          <w:rFonts w:ascii="Arial" w:hAnsi="Arial" w:cs="Arial"/>
          <w:i/>
          <w:sz w:val="20"/>
          <w:szCs w:val="20"/>
        </w:rPr>
        <w:t xml:space="preserve"> &amp; </w:t>
      </w:r>
      <w:proofErr w:type="spellStart"/>
      <w:r w:rsidRPr="00A94E1F">
        <w:rPr>
          <w:rFonts w:ascii="Arial" w:hAnsi="Arial" w:cs="Arial"/>
          <w:i/>
          <w:sz w:val="20"/>
          <w:szCs w:val="20"/>
        </w:rPr>
        <w:t>Adoption</w:t>
      </w:r>
      <w:proofErr w:type="spellEnd"/>
      <w:r w:rsidRPr="00A94E1F">
        <w:rPr>
          <w:rFonts w:ascii="Arial" w:hAnsi="Arial" w:cs="Arial"/>
          <w:i/>
          <w:sz w:val="20"/>
          <w:szCs w:val="20"/>
        </w:rPr>
        <w:t xml:space="preserve"> </w:t>
      </w:r>
      <w:proofErr w:type="spellStart"/>
      <w:r w:rsidRPr="00A94E1F">
        <w:rPr>
          <w:rFonts w:ascii="Arial" w:hAnsi="Arial" w:cs="Arial"/>
          <w:i/>
          <w:sz w:val="20"/>
          <w:szCs w:val="20"/>
        </w:rPr>
        <w:t>Forecast</w:t>
      </w:r>
      <w:proofErr w:type="spellEnd"/>
      <w:r w:rsidRPr="00A94E1F">
        <w:rPr>
          <w:rFonts w:ascii="Arial" w:hAnsi="Arial" w:cs="Arial"/>
          <w:i/>
          <w:sz w:val="20"/>
          <w:szCs w:val="20"/>
        </w:rPr>
        <w:t xml:space="preserve">, </w:t>
      </w:r>
      <w:proofErr w:type="spellStart"/>
      <w:r>
        <w:rPr>
          <w:rFonts w:ascii="Arial" w:hAnsi="Arial" w:cs="Arial"/>
          <w:i/>
          <w:sz w:val="20"/>
          <w:szCs w:val="20"/>
        </w:rPr>
        <w:t>Berge</w:t>
      </w:r>
      <w:proofErr w:type="spellEnd"/>
      <w:r>
        <w:rPr>
          <w:rFonts w:ascii="Arial" w:hAnsi="Arial" w:cs="Arial"/>
          <w:i/>
          <w:sz w:val="20"/>
          <w:szCs w:val="20"/>
        </w:rPr>
        <w:t xml:space="preserve"> </w:t>
      </w:r>
      <w:proofErr w:type="spellStart"/>
      <w:r>
        <w:rPr>
          <w:rFonts w:ascii="Arial" w:hAnsi="Arial" w:cs="Arial"/>
          <w:i/>
          <w:sz w:val="20"/>
          <w:szCs w:val="20"/>
        </w:rPr>
        <w:t>Ayvezian</w:t>
      </w:r>
      <w:proofErr w:type="spellEnd"/>
    </w:p>
    <w:p w:rsidR="00A94E1F" w:rsidRDefault="00A94E1F" w:rsidP="00F649CF">
      <w:pPr>
        <w:pStyle w:val="NormlWeb"/>
        <w:shd w:val="clear" w:color="auto" w:fill="FFFFFF"/>
        <w:spacing w:before="0" w:beforeAutospacing="0" w:after="0" w:afterAutospacing="0" w:line="360" w:lineRule="auto"/>
        <w:rPr>
          <w:rFonts w:ascii="Arial" w:hAnsi="Arial" w:cs="Arial"/>
          <w:i/>
          <w:sz w:val="20"/>
          <w:szCs w:val="20"/>
        </w:rPr>
      </w:pPr>
      <w:r>
        <w:rPr>
          <w:rFonts w:ascii="Arial" w:hAnsi="Arial" w:cs="Arial"/>
          <w:i/>
          <w:sz w:val="20"/>
          <w:szCs w:val="20"/>
        </w:rPr>
        <w:t xml:space="preserve">[3] GSA, LTE TDD </w:t>
      </w:r>
      <w:proofErr w:type="spellStart"/>
      <w:r>
        <w:rPr>
          <w:rFonts w:ascii="Arial" w:hAnsi="Arial" w:cs="Arial"/>
          <w:i/>
          <w:sz w:val="20"/>
          <w:szCs w:val="20"/>
        </w:rPr>
        <w:t>Investment</w:t>
      </w:r>
      <w:proofErr w:type="spellEnd"/>
      <w:r>
        <w:rPr>
          <w:rFonts w:ascii="Arial" w:hAnsi="Arial" w:cs="Arial"/>
          <w:i/>
          <w:sz w:val="20"/>
          <w:szCs w:val="20"/>
        </w:rPr>
        <w:t xml:space="preserve"> </w:t>
      </w:r>
      <w:proofErr w:type="spellStart"/>
      <w:r>
        <w:rPr>
          <w:rFonts w:ascii="Arial" w:hAnsi="Arial" w:cs="Arial"/>
          <w:i/>
          <w:sz w:val="20"/>
          <w:szCs w:val="20"/>
        </w:rPr>
        <w:t>Worldwide</w:t>
      </w:r>
      <w:proofErr w:type="spellEnd"/>
      <w:r>
        <w:rPr>
          <w:rFonts w:ascii="Arial" w:hAnsi="Arial" w:cs="Arial"/>
          <w:i/>
          <w:sz w:val="20"/>
          <w:szCs w:val="20"/>
        </w:rPr>
        <w:t xml:space="preserve">, 11. </w:t>
      </w:r>
      <w:proofErr w:type="spellStart"/>
      <w:r>
        <w:rPr>
          <w:rFonts w:ascii="Arial" w:hAnsi="Arial" w:cs="Arial"/>
          <w:i/>
          <w:sz w:val="20"/>
          <w:szCs w:val="20"/>
        </w:rPr>
        <w:t>September</w:t>
      </w:r>
      <w:proofErr w:type="spellEnd"/>
      <w:r>
        <w:rPr>
          <w:rFonts w:ascii="Arial" w:hAnsi="Arial" w:cs="Arial"/>
          <w:i/>
          <w:sz w:val="20"/>
          <w:szCs w:val="20"/>
        </w:rPr>
        <w:t xml:space="preserve"> 2012.</w:t>
      </w:r>
      <w:r w:rsidR="00656EC5">
        <w:rPr>
          <w:rFonts w:ascii="Arial" w:hAnsi="Arial" w:cs="Arial"/>
          <w:i/>
          <w:sz w:val="20"/>
          <w:szCs w:val="20"/>
        </w:rPr>
        <w:t xml:space="preserve"> (www.gsacom.com)</w:t>
      </w:r>
    </w:p>
    <w:p w:rsidR="00A94E1F" w:rsidRDefault="00656EC5" w:rsidP="00F649CF">
      <w:pPr>
        <w:pStyle w:val="NormlWeb"/>
        <w:shd w:val="clear" w:color="auto" w:fill="FFFFFF"/>
        <w:spacing w:before="0" w:beforeAutospacing="0" w:after="0" w:afterAutospacing="0" w:line="360" w:lineRule="auto"/>
        <w:rPr>
          <w:rFonts w:ascii="Arial" w:hAnsi="Arial" w:cs="Arial"/>
          <w:i/>
          <w:sz w:val="20"/>
          <w:szCs w:val="20"/>
        </w:rPr>
      </w:pPr>
      <w:r>
        <w:rPr>
          <w:rFonts w:ascii="Arial" w:hAnsi="Arial" w:cs="Arial"/>
          <w:i/>
          <w:sz w:val="20"/>
          <w:szCs w:val="20"/>
        </w:rPr>
        <w:t xml:space="preserve">[4] </w:t>
      </w:r>
      <w:r w:rsidR="00A94E1F" w:rsidRPr="00656EC5">
        <w:rPr>
          <w:rFonts w:ascii="Arial" w:hAnsi="Arial" w:cs="Arial"/>
          <w:i/>
          <w:sz w:val="20"/>
          <w:szCs w:val="20"/>
        </w:rPr>
        <w:t xml:space="preserve">LTE </w:t>
      </w:r>
      <w:proofErr w:type="spellStart"/>
      <w:r w:rsidR="00A94E1F" w:rsidRPr="00656EC5">
        <w:rPr>
          <w:rFonts w:ascii="Arial" w:hAnsi="Arial" w:cs="Arial"/>
          <w:i/>
          <w:sz w:val="20"/>
          <w:szCs w:val="20"/>
        </w:rPr>
        <w:t>spectrum</w:t>
      </w:r>
      <w:proofErr w:type="spellEnd"/>
      <w:r w:rsidR="00A94E1F" w:rsidRPr="00656EC5">
        <w:rPr>
          <w:rFonts w:ascii="Arial" w:hAnsi="Arial" w:cs="Arial"/>
          <w:i/>
          <w:sz w:val="20"/>
          <w:szCs w:val="20"/>
        </w:rPr>
        <w:t xml:space="preserve"> and </w:t>
      </w:r>
      <w:proofErr w:type="spellStart"/>
      <w:r w:rsidR="00A94E1F" w:rsidRPr="00656EC5">
        <w:rPr>
          <w:rFonts w:ascii="Arial" w:hAnsi="Arial" w:cs="Arial"/>
          <w:i/>
          <w:sz w:val="20"/>
          <w:szCs w:val="20"/>
        </w:rPr>
        <w:t>Deployment</w:t>
      </w:r>
      <w:proofErr w:type="spellEnd"/>
      <w:r w:rsidR="00A94E1F" w:rsidRPr="00656EC5">
        <w:rPr>
          <w:rFonts w:ascii="Arial" w:hAnsi="Arial" w:cs="Arial"/>
          <w:i/>
          <w:sz w:val="20"/>
          <w:szCs w:val="20"/>
        </w:rPr>
        <w:t xml:space="preserve"> </w:t>
      </w:r>
      <w:proofErr w:type="spellStart"/>
      <w:r w:rsidR="00A94E1F" w:rsidRPr="00656EC5">
        <w:rPr>
          <w:rFonts w:ascii="Arial" w:hAnsi="Arial" w:cs="Arial"/>
          <w:i/>
          <w:sz w:val="20"/>
          <w:szCs w:val="20"/>
        </w:rPr>
        <w:t>Choices</w:t>
      </w:r>
      <w:proofErr w:type="spellEnd"/>
      <w:r w:rsidR="00A94E1F" w:rsidRPr="00656EC5">
        <w:rPr>
          <w:rFonts w:ascii="Arial" w:hAnsi="Arial" w:cs="Arial"/>
          <w:i/>
          <w:sz w:val="20"/>
          <w:szCs w:val="20"/>
        </w:rPr>
        <w:t xml:space="preserve"> </w:t>
      </w:r>
      <w:proofErr w:type="spellStart"/>
      <w:r w:rsidR="00A94E1F" w:rsidRPr="00656EC5">
        <w:rPr>
          <w:rFonts w:ascii="Arial" w:hAnsi="Arial" w:cs="Arial"/>
          <w:i/>
          <w:sz w:val="20"/>
          <w:szCs w:val="20"/>
        </w:rPr>
        <w:t>for</w:t>
      </w:r>
      <w:proofErr w:type="spellEnd"/>
      <w:r w:rsidR="00A94E1F" w:rsidRPr="00656EC5">
        <w:rPr>
          <w:rFonts w:ascii="Arial" w:hAnsi="Arial" w:cs="Arial"/>
          <w:i/>
          <w:sz w:val="20"/>
          <w:szCs w:val="20"/>
        </w:rPr>
        <w:t xml:space="preserve"> Operators</w:t>
      </w:r>
      <w:r>
        <w:rPr>
          <w:rFonts w:ascii="Arial" w:hAnsi="Arial" w:cs="Arial"/>
          <w:i/>
          <w:sz w:val="20"/>
          <w:szCs w:val="20"/>
        </w:rPr>
        <w:t xml:space="preserve">, </w:t>
      </w:r>
      <w:r w:rsidR="00A94E1F" w:rsidRPr="00656EC5">
        <w:rPr>
          <w:rFonts w:ascii="Arial" w:hAnsi="Arial" w:cs="Arial"/>
          <w:i/>
          <w:sz w:val="20"/>
          <w:szCs w:val="20"/>
        </w:rPr>
        <w:t xml:space="preserve">BP </w:t>
      </w:r>
      <w:proofErr w:type="spellStart"/>
      <w:proofErr w:type="gramStart"/>
      <w:r w:rsidR="00A94E1F" w:rsidRPr="00656EC5">
        <w:rPr>
          <w:rFonts w:ascii="Arial" w:hAnsi="Arial" w:cs="Arial"/>
          <w:i/>
          <w:sz w:val="20"/>
          <w:szCs w:val="20"/>
        </w:rPr>
        <w:t>Tiwari</w:t>
      </w:r>
      <w:proofErr w:type="spellEnd"/>
      <w:r w:rsidR="00A94E1F" w:rsidRPr="00656EC5">
        <w:rPr>
          <w:rFonts w:ascii="Arial" w:hAnsi="Arial" w:cs="Arial"/>
          <w:i/>
          <w:sz w:val="20"/>
          <w:szCs w:val="20"/>
        </w:rPr>
        <w:t xml:space="preserve"> ,</w:t>
      </w:r>
      <w:proofErr w:type="gramEnd"/>
      <w:r w:rsidR="00A94E1F" w:rsidRPr="00656EC5">
        <w:rPr>
          <w:rFonts w:ascii="Arial" w:hAnsi="Arial" w:cs="Arial"/>
          <w:i/>
          <w:sz w:val="20"/>
          <w:szCs w:val="20"/>
        </w:rPr>
        <w:t xml:space="preserve"> </w:t>
      </w:r>
      <w:r>
        <w:rPr>
          <w:rFonts w:ascii="Arial" w:hAnsi="Arial" w:cs="Arial"/>
          <w:i/>
          <w:sz w:val="20"/>
          <w:szCs w:val="20"/>
        </w:rPr>
        <w:t>(</w:t>
      </w:r>
      <w:r w:rsidRPr="00656EC5">
        <w:rPr>
          <w:rFonts w:ascii="Arial" w:hAnsi="Arial" w:cs="Arial"/>
          <w:i/>
          <w:sz w:val="20"/>
          <w:szCs w:val="20"/>
        </w:rPr>
        <w:t>www.beyond4g.org</w:t>
      </w:r>
      <w:r>
        <w:rPr>
          <w:rFonts w:ascii="Arial" w:hAnsi="Arial" w:cs="Arial"/>
          <w:i/>
          <w:sz w:val="20"/>
          <w:szCs w:val="20"/>
        </w:rPr>
        <w:t>)</w:t>
      </w:r>
    </w:p>
    <w:p w:rsidR="00656EC5" w:rsidRPr="00A94E1F" w:rsidRDefault="00656EC5" w:rsidP="00F649CF">
      <w:pPr>
        <w:pStyle w:val="NormlWeb"/>
        <w:shd w:val="clear" w:color="auto" w:fill="FFFFFF"/>
        <w:spacing w:before="0" w:beforeAutospacing="0" w:after="0" w:afterAutospacing="0" w:line="360" w:lineRule="auto"/>
        <w:rPr>
          <w:rFonts w:ascii="Arial" w:hAnsi="Arial" w:cs="Arial"/>
          <w:i/>
          <w:sz w:val="20"/>
          <w:szCs w:val="20"/>
        </w:rPr>
      </w:pPr>
      <w:r w:rsidRPr="00656EC5">
        <w:rPr>
          <w:rFonts w:ascii="Arial" w:hAnsi="Arial" w:cs="Arial"/>
          <w:i/>
          <w:sz w:val="20"/>
          <w:szCs w:val="20"/>
        </w:rPr>
        <w:t xml:space="preserve">[5] </w:t>
      </w:r>
      <w:hyperlink r:id="rId8" w:history="1">
        <w:r w:rsidRPr="00656EC5">
          <w:rPr>
            <w:rFonts w:ascii="Arial" w:hAnsi="Arial" w:cs="Arial"/>
            <w:i/>
            <w:sz w:val="20"/>
            <w:szCs w:val="20"/>
          </w:rPr>
          <w:t>http://www.3gpp.org/LTE-Advanced</w:t>
        </w:r>
      </w:hyperlink>
    </w:p>
    <w:p w:rsidR="00943601" w:rsidRDefault="00943601" w:rsidP="00943601">
      <w:pPr>
        <w:pStyle w:val="NormlWeb"/>
        <w:shd w:val="clear" w:color="auto" w:fill="FFFFFF"/>
        <w:spacing w:before="0" w:beforeAutospacing="0" w:after="0" w:afterAutospacing="0" w:line="360" w:lineRule="auto"/>
        <w:ind w:left="720"/>
        <w:rPr>
          <w:rFonts w:ascii="Arial" w:hAnsi="Arial" w:cs="Arial"/>
        </w:rPr>
      </w:pPr>
    </w:p>
    <w:p w:rsidR="00943601" w:rsidRDefault="00943601" w:rsidP="00943601">
      <w:pPr>
        <w:pStyle w:val="NormlWeb"/>
        <w:shd w:val="clear" w:color="auto" w:fill="FFFFFF"/>
        <w:spacing w:before="0" w:beforeAutospacing="0" w:after="0" w:afterAutospacing="0" w:line="360" w:lineRule="auto"/>
        <w:ind w:left="720"/>
        <w:rPr>
          <w:rFonts w:ascii="Arial" w:hAnsi="Arial" w:cs="Arial"/>
        </w:rPr>
      </w:pPr>
    </w:p>
    <w:p w:rsidR="00943601" w:rsidRDefault="00943601" w:rsidP="00943601">
      <w:pPr>
        <w:pStyle w:val="NormlWeb"/>
        <w:shd w:val="clear" w:color="auto" w:fill="FFFFFF"/>
        <w:spacing w:before="0" w:beforeAutospacing="0" w:after="0" w:afterAutospacing="0" w:line="360" w:lineRule="auto"/>
        <w:ind w:left="720"/>
        <w:rPr>
          <w:rFonts w:ascii="Arial" w:hAnsi="Arial" w:cs="Arial"/>
        </w:rPr>
      </w:pPr>
    </w:p>
    <w:p w:rsidR="00943601" w:rsidRDefault="00943601" w:rsidP="00943601">
      <w:pPr>
        <w:pStyle w:val="NormlWeb"/>
        <w:shd w:val="clear" w:color="auto" w:fill="FFFFFF"/>
        <w:spacing w:before="0" w:beforeAutospacing="0" w:after="0" w:afterAutospacing="0" w:line="360" w:lineRule="auto"/>
        <w:jc w:val="both"/>
        <w:rPr>
          <w:rFonts w:ascii="Arial" w:hAnsi="Arial" w:cs="Arial"/>
        </w:rPr>
      </w:pPr>
    </w:p>
    <w:p w:rsidR="00D17E41" w:rsidRPr="00C5173F" w:rsidRDefault="00D17E41" w:rsidP="00D17E41">
      <w:pPr>
        <w:pStyle w:val="NormlWeb"/>
        <w:shd w:val="clear" w:color="auto" w:fill="FFFFFF"/>
        <w:spacing w:before="0" w:beforeAutospacing="0" w:after="0" w:afterAutospacing="0" w:line="360" w:lineRule="auto"/>
        <w:jc w:val="both"/>
        <w:rPr>
          <w:rFonts w:ascii="Arial" w:hAnsi="Arial" w:cs="Arial"/>
        </w:rPr>
      </w:pPr>
    </w:p>
    <w:p w:rsidR="001657EB" w:rsidRDefault="001657EB" w:rsidP="001657EB">
      <w:pPr>
        <w:pStyle w:val="NormlWeb"/>
        <w:shd w:val="clear" w:color="auto" w:fill="FFFFFF"/>
        <w:spacing w:before="0" w:beforeAutospacing="0" w:after="240" w:afterAutospacing="0" w:line="285" w:lineRule="atLeast"/>
        <w:jc w:val="both"/>
        <w:textAlignment w:val="baseline"/>
        <w:rPr>
          <w:rFonts w:ascii="Arial" w:hAnsi="Arial" w:cs="Arial"/>
        </w:rPr>
      </w:pPr>
    </w:p>
    <w:sectPr w:rsidR="001657EB" w:rsidSect="00A017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altName w:val="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altName w:val="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13907"/>
    <w:multiLevelType w:val="hybridMultilevel"/>
    <w:tmpl w:val="C2CECB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DAA6E83"/>
    <w:multiLevelType w:val="hybridMultilevel"/>
    <w:tmpl w:val="446C4C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0F21697"/>
    <w:multiLevelType w:val="hybridMultilevel"/>
    <w:tmpl w:val="E098B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9826120"/>
    <w:multiLevelType w:val="hybridMultilevel"/>
    <w:tmpl w:val="3E34A6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57EB"/>
    <w:rsid w:val="0013635D"/>
    <w:rsid w:val="001657EB"/>
    <w:rsid w:val="00336BA5"/>
    <w:rsid w:val="004F0EE3"/>
    <w:rsid w:val="00600380"/>
    <w:rsid w:val="006527C3"/>
    <w:rsid w:val="00656EC5"/>
    <w:rsid w:val="00725854"/>
    <w:rsid w:val="0073504C"/>
    <w:rsid w:val="00736864"/>
    <w:rsid w:val="0077706C"/>
    <w:rsid w:val="00792403"/>
    <w:rsid w:val="00900140"/>
    <w:rsid w:val="00912182"/>
    <w:rsid w:val="00943601"/>
    <w:rsid w:val="00992293"/>
    <w:rsid w:val="0099390C"/>
    <w:rsid w:val="009D5571"/>
    <w:rsid w:val="009D7968"/>
    <w:rsid w:val="00A017EA"/>
    <w:rsid w:val="00A607B5"/>
    <w:rsid w:val="00A7029C"/>
    <w:rsid w:val="00A94E1F"/>
    <w:rsid w:val="00AE5422"/>
    <w:rsid w:val="00C623DF"/>
    <w:rsid w:val="00CA266D"/>
    <w:rsid w:val="00CD20C9"/>
    <w:rsid w:val="00D17E41"/>
    <w:rsid w:val="00E02EF5"/>
    <w:rsid w:val="00E7510F"/>
    <w:rsid w:val="00F04CCA"/>
    <w:rsid w:val="00F51CF4"/>
    <w:rsid w:val="00F649C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17EA"/>
  </w:style>
  <w:style w:type="paragraph" w:styleId="Cmsor1">
    <w:name w:val="heading 1"/>
    <w:basedOn w:val="Norml"/>
    <w:next w:val="Norml"/>
    <w:link w:val="Cmsor1Char"/>
    <w:uiPriority w:val="9"/>
    <w:qFormat/>
    <w:rsid w:val="00912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657E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bodycontent">
    <w:name w:val="bodycontent"/>
    <w:basedOn w:val="Bekezdsalapbettpusa"/>
    <w:rsid w:val="00F51CF4"/>
  </w:style>
  <w:style w:type="paragraph" w:styleId="Buborkszveg">
    <w:name w:val="Balloon Text"/>
    <w:basedOn w:val="Norml"/>
    <w:link w:val="BuborkszvegChar"/>
    <w:uiPriority w:val="99"/>
    <w:semiHidden/>
    <w:unhideWhenUsed/>
    <w:rsid w:val="009436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43601"/>
    <w:rPr>
      <w:rFonts w:ascii="Tahoma" w:hAnsi="Tahoma" w:cs="Tahoma"/>
      <w:sz w:val="16"/>
      <w:szCs w:val="16"/>
    </w:rPr>
  </w:style>
  <w:style w:type="paragraph" w:customStyle="1" w:styleId="Default">
    <w:name w:val="Default"/>
    <w:rsid w:val="00992293"/>
    <w:pPr>
      <w:autoSpaceDE w:val="0"/>
      <w:autoSpaceDN w:val="0"/>
      <w:adjustRightInd w:val="0"/>
      <w:spacing w:after="0" w:line="240" w:lineRule="auto"/>
    </w:pPr>
    <w:rPr>
      <w:rFonts w:ascii="Calibri" w:hAnsi="Calibri" w:cs="Calibri"/>
      <w:color w:val="000000"/>
      <w:sz w:val="24"/>
      <w:szCs w:val="24"/>
    </w:rPr>
  </w:style>
  <w:style w:type="character" w:customStyle="1" w:styleId="Cmsor1Char">
    <w:name w:val="Címsor 1 Char"/>
    <w:basedOn w:val="Bekezdsalapbettpusa"/>
    <w:link w:val="Cmsor1"/>
    <w:uiPriority w:val="9"/>
    <w:rsid w:val="00912182"/>
    <w:rPr>
      <w:rFonts w:asciiTheme="majorHAnsi" w:eastAsiaTheme="majorEastAsia" w:hAnsiTheme="majorHAnsi" w:cstheme="majorBidi"/>
      <w:b/>
      <w:bCs/>
      <w:color w:val="365F91" w:themeColor="accent1" w:themeShade="BF"/>
      <w:sz w:val="28"/>
      <w:szCs w:val="28"/>
    </w:rPr>
  </w:style>
  <w:style w:type="paragraph" w:styleId="Listaszerbekezds">
    <w:name w:val="List Paragraph"/>
    <w:basedOn w:val="Norml"/>
    <w:uiPriority w:val="34"/>
    <w:qFormat/>
    <w:rsid w:val="00912182"/>
    <w:pPr>
      <w:ind w:left="720"/>
      <w:contextualSpacing/>
    </w:pPr>
  </w:style>
  <w:style w:type="character" w:styleId="Hiperhivatkozs">
    <w:name w:val="Hyperlink"/>
    <w:basedOn w:val="Bekezdsalapbettpusa"/>
    <w:uiPriority w:val="99"/>
    <w:unhideWhenUsed/>
    <w:rsid w:val="00656E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60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LTE-Advanced"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7</Pages>
  <Words>1557</Words>
  <Characters>10751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KVK</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10</cp:revision>
  <dcterms:created xsi:type="dcterms:W3CDTF">2012-07-11T17:35:00Z</dcterms:created>
  <dcterms:modified xsi:type="dcterms:W3CDTF">2012-09-30T21:53:00Z</dcterms:modified>
</cp:coreProperties>
</file>